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77C7E">
      <w:pPr>
        <w:spacing w:line="550" w:lineRule="exact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3E1C0EAE">
      <w:pPr>
        <w:spacing w:line="550" w:lineRule="exact"/>
        <w:jc w:val="center"/>
        <w:rPr>
          <w:rFonts w:hint="default" w:ascii="Times New Roman" w:hAnsi="Times New Roman" w:eastAsia="方正小标宋_GBK" w:cs="Times New Roman"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sz w:val="40"/>
          <w:szCs w:val="40"/>
        </w:rPr>
        <w:t>重大事项调整表</w:t>
      </w:r>
    </w:p>
    <w:p w14:paraId="12F143D3">
      <w:pPr>
        <w:spacing w:line="550" w:lineRule="exact"/>
        <w:jc w:val="center"/>
        <w:rPr>
          <w:rFonts w:hint="default" w:ascii="Times New Roman" w:hAnsi="Times New Roman" w:eastAsia="方正小标宋_GBK" w:cs="Times New Roman"/>
          <w:sz w:val="40"/>
          <w:szCs w:val="40"/>
        </w:rPr>
      </w:pPr>
    </w:p>
    <w:tbl>
      <w:tblPr>
        <w:tblStyle w:val="3"/>
        <w:tblpPr w:leftFromText="180" w:rightFromText="180" w:vertAnchor="text" w:horzAnchor="page" w:tblpX="1041" w:tblpY="24"/>
        <w:tblOverlap w:val="never"/>
        <w:tblW w:w="148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710"/>
        <w:gridCol w:w="4500"/>
        <w:gridCol w:w="3193"/>
        <w:gridCol w:w="4682"/>
      </w:tblGrid>
      <w:tr w14:paraId="7A71B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726" w:type="dxa"/>
            <w:noWrap w:val="0"/>
            <w:vAlign w:val="center"/>
          </w:tcPr>
          <w:p w14:paraId="63524A8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10" w:type="dxa"/>
            <w:noWrap w:val="0"/>
            <w:vAlign w:val="center"/>
          </w:tcPr>
          <w:p w14:paraId="2AD288B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4500" w:type="dxa"/>
            <w:noWrap w:val="0"/>
            <w:vAlign w:val="center"/>
          </w:tcPr>
          <w:p w14:paraId="6821E8B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193" w:type="dxa"/>
            <w:noWrap w:val="0"/>
            <w:vAlign w:val="center"/>
          </w:tcPr>
          <w:p w14:paraId="04CA3BF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牵头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4682" w:type="dxa"/>
            <w:noWrap w:val="0"/>
            <w:vAlign w:val="center"/>
          </w:tcPr>
          <w:p w14:paraId="418CC58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调整事项</w:t>
            </w:r>
          </w:p>
        </w:tc>
      </w:tr>
      <w:tr w14:paraId="6510F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26" w:type="dxa"/>
            <w:noWrap w:val="0"/>
            <w:vAlign w:val="center"/>
          </w:tcPr>
          <w:p w14:paraId="476C7046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10" w:type="dxa"/>
            <w:noWrap w:val="0"/>
            <w:vAlign w:val="center"/>
          </w:tcPr>
          <w:p w14:paraId="4CB1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2025LF01</w:t>
            </w:r>
          </w:p>
        </w:tc>
        <w:tc>
          <w:tcPr>
            <w:tcW w:w="4500" w:type="dxa"/>
            <w:noWrap w:val="0"/>
            <w:vAlign w:val="center"/>
          </w:tcPr>
          <w:p w14:paraId="09E3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岳阳楼元宇宙AR灯光秀研究与开发</w:t>
            </w:r>
          </w:p>
        </w:tc>
        <w:tc>
          <w:tcPr>
            <w:tcW w:w="3193" w:type="dxa"/>
            <w:noWrap w:val="0"/>
            <w:vAlign w:val="center"/>
          </w:tcPr>
          <w:p w14:paraId="13C7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中国联合网络通信有限公司岳阳市分公司</w:t>
            </w:r>
          </w:p>
        </w:tc>
        <w:tc>
          <w:tcPr>
            <w:tcW w:w="4682" w:type="dxa"/>
            <w:noWrap w:val="0"/>
            <w:vAlign w:val="center"/>
          </w:tcPr>
          <w:p w14:paraId="5FE72AA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执行期由原定“2025年1月1日至2026年9月1日”变更为“2025年1月1日至2027年3月1日”</w:t>
            </w:r>
          </w:p>
        </w:tc>
      </w:tr>
      <w:tr w14:paraId="16CCB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26" w:type="dxa"/>
            <w:noWrap w:val="0"/>
            <w:vAlign w:val="center"/>
          </w:tcPr>
          <w:p w14:paraId="69C40262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10" w:type="dxa"/>
            <w:noWrap w:val="0"/>
            <w:vAlign w:val="center"/>
          </w:tcPr>
          <w:p w14:paraId="2AFD9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2025LF07</w:t>
            </w:r>
          </w:p>
        </w:tc>
        <w:tc>
          <w:tcPr>
            <w:tcW w:w="4500" w:type="dxa"/>
            <w:noWrap w:val="0"/>
            <w:vAlign w:val="center"/>
          </w:tcPr>
          <w:p w14:paraId="756D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君山银针生态智慧茶园与茶旅融合发展技术研究</w:t>
            </w:r>
          </w:p>
        </w:tc>
        <w:tc>
          <w:tcPr>
            <w:tcW w:w="3193" w:type="dxa"/>
            <w:noWrap w:val="0"/>
            <w:vAlign w:val="center"/>
          </w:tcPr>
          <w:p w14:paraId="30FA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湖南省君山银针茶业股份有限公司</w:t>
            </w:r>
          </w:p>
        </w:tc>
        <w:tc>
          <w:tcPr>
            <w:tcW w:w="4682" w:type="dxa"/>
            <w:noWrap w:val="0"/>
            <w:vAlign w:val="center"/>
          </w:tcPr>
          <w:p w14:paraId="27CFC6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执行期由原定“2025年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月1日至2026年9月1日”变更为“2025年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月1日至2027年3月1日”</w:t>
            </w:r>
          </w:p>
        </w:tc>
      </w:tr>
      <w:tr w14:paraId="6C768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26" w:type="dxa"/>
            <w:noWrap w:val="0"/>
            <w:vAlign w:val="center"/>
          </w:tcPr>
          <w:p w14:paraId="047D5CC4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10" w:type="dxa"/>
            <w:noWrap w:val="0"/>
            <w:vAlign w:val="center"/>
          </w:tcPr>
          <w:p w14:paraId="5288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2025LF20</w:t>
            </w:r>
          </w:p>
        </w:tc>
        <w:tc>
          <w:tcPr>
            <w:tcW w:w="4500" w:type="dxa"/>
            <w:noWrap w:val="0"/>
            <w:vAlign w:val="center"/>
          </w:tcPr>
          <w:p w14:paraId="7EEC6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岳阳红色文化AR虚拟仿真研学资源开发与实践应用</w:t>
            </w:r>
          </w:p>
        </w:tc>
        <w:tc>
          <w:tcPr>
            <w:tcW w:w="3193" w:type="dxa"/>
            <w:noWrap w:val="0"/>
            <w:vAlign w:val="center"/>
          </w:tcPr>
          <w:p w14:paraId="28D0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湖南民族职业学院</w:t>
            </w:r>
          </w:p>
        </w:tc>
        <w:tc>
          <w:tcPr>
            <w:tcW w:w="4682" w:type="dxa"/>
            <w:noWrap w:val="0"/>
            <w:vAlign w:val="center"/>
          </w:tcPr>
          <w:p w14:paraId="00BF2D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执行期由原定“2025年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日至2026年9月1日”变更为“2025年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日至2027年3月1日”</w:t>
            </w:r>
          </w:p>
        </w:tc>
      </w:tr>
      <w:tr w14:paraId="00B85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26" w:type="dxa"/>
            <w:noWrap w:val="0"/>
            <w:vAlign w:val="center"/>
          </w:tcPr>
          <w:p w14:paraId="16160826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10" w:type="dxa"/>
            <w:noWrap w:val="0"/>
            <w:vAlign w:val="center"/>
          </w:tcPr>
          <w:p w14:paraId="3DF03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2025LF24</w:t>
            </w:r>
          </w:p>
        </w:tc>
        <w:tc>
          <w:tcPr>
            <w:tcW w:w="4500" w:type="dxa"/>
            <w:noWrap w:val="0"/>
            <w:vAlign w:val="center"/>
          </w:tcPr>
          <w:p w14:paraId="7A703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岳阳市科技创新成果数字化展览关键技术研究及应用</w:t>
            </w:r>
          </w:p>
        </w:tc>
        <w:tc>
          <w:tcPr>
            <w:tcW w:w="3193" w:type="dxa"/>
            <w:noWrap w:val="0"/>
            <w:vAlign w:val="center"/>
          </w:tcPr>
          <w:p w14:paraId="5B35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岳阳市科技事务中心</w:t>
            </w:r>
          </w:p>
        </w:tc>
        <w:tc>
          <w:tcPr>
            <w:tcW w:w="4682" w:type="dxa"/>
            <w:noWrap w:val="0"/>
            <w:vAlign w:val="center"/>
          </w:tcPr>
          <w:p w14:paraId="23B8C2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执行期由原定“2025年4月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日至2026年9月1日”变更为“2025年4月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日至2027年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月1日”</w:t>
            </w:r>
          </w:p>
        </w:tc>
      </w:tr>
    </w:tbl>
    <w:p w14:paraId="35F05076">
      <w:pPr>
        <w:jc w:val="both"/>
        <w:rPr>
          <w:rFonts w:hint="default" w:ascii="Times New Roman" w:hAnsi="Times New Roman" w:eastAsia="方正小标宋_GBK" w:cs="Times New Roman"/>
          <w:sz w:val="40"/>
          <w:szCs w:val="40"/>
          <w:lang w:val="en" w:eastAsia="zh-CN"/>
        </w:rPr>
      </w:pPr>
    </w:p>
    <w:p w14:paraId="31F3AD5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34D20"/>
    <w:rsid w:val="7393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2026-08-25T10:41:00Z</dcterms:created>
  <dc:creator>沈偲</dc:creator>
  <cp:lastModifiedBy>沈偲</cp:lastModifiedBy>
  <dcterms:modified xsi:type="dcterms:W3CDTF">2026-08-25T10:42:28Z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E81335BBE00146F58D919DCEE23501FB_11</vt:lpwstr>
  </property>
  <property fmtid="{D5CDD505-2E9C-101B-9397-08002B2CF9AE}" pid="4" name="KSOTemplateDocerSaveRecord">
    <vt:lpwstr>eyJoZGlkIjoiODY0Njg1MDkzM2Y3Y2FlMjlhY2QyMzUwYzM1ZTdkN2QiLCJ1c2VySWQiOiIxNTg2OTQ1NDYxIn0=</vt:lpwstr>
  </property>
</Properties>
</file>