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eastAsia="Times New Roman"/>
          <w:color w:val="auto"/>
          <w:sz w:val="2"/>
          <w:szCs w:val="24"/>
        </w:rPr>
      </w:pPr>
      <w:bookmarkStart w:id="0" w:name="_GoBack"/>
      <w:bookmarkEnd w:id="0"/>
    </w:p>
    <w:tbl>
      <w:tblPr>
        <w:tblStyle w:val="9"/>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95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1110" w:lineRule="exact"/>
              <w:ind w:left="20"/>
              <w:jc w:val="center"/>
              <w:rPr>
                <w:rFonts w:hint="default" w:ascii="微软雅黑" w:hAnsi="Times New Roman" w:eastAsia="微软雅黑"/>
                <w:b/>
                <w:sz w:val="84"/>
                <w:szCs w:val="24"/>
              </w:rPr>
            </w:pPr>
            <w:r>
              <w:rPr>
                <w:rFonts w:hint="default" w:ascii="微软雅黑" w:hAnsi="Times New Roman" w:eastAsia="微软雅黑"/>
                <w:b/>
                <w:sz w:val="84"/>
                <w:szCs w:val="24"/>
              </w:rPr>
              <w:t>岳阳市科学技术局2024年度</w:t>
            </w:r>
          </w:p>
          <w:p>
            <w:pPr>
              <w:spacing w:line="1110" w:lineRule="exact"/>
              <w:ind w:left="20"/>
              <w:jc w:val="center"/>
              <w:rPr>
                <w:rFonts w:hint="default" w:ascii="微软雅黑" w:hAnsi="Times New Roman" w:eastAsia="微软雅黑"/>
                <w:sz w:val="84"/>
                <w:szCs w:val="24"/>
              </w:rPr>
            </w:pPr>
            <w:r>
              <w:rPr>
                <w:rFonts w:hint="default" w:ascii="微软雅黑" w:hAnsi="Times New Roman" w:eastAsia="微软雅黑"/>
                <w:b/>
                <w:sz w:val="84"/>
                <w:szCs w:val="24"/>
              </w:rPr>
              <w:t>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44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25" w:lineRule="exact"/>
              <w:ind w:left="20"/>
              <w:jc w:val="center"/>
              <w:rPr>
                <w:rFonts w:hint="default" w:ascii="Dialog" w:hAnsi="Times New Roman"/>
                <w:sz w:val="44"/>
                <w:szCs w:val="24"/>
              </w:rPr>
            </w:pPr>
            <w:r>
              <w:rPr>
                <w:rFonts w:hint="eastAsia" w:ascii="Dialog" w:hAnsi="Times New Roman"/>
                <w:sz w:val="44"/>
                <w:szCs w:val="24"/>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第一部分  2024年部门预算说明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第二部分  2024年部门预算公开表格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8、一般公共预算基本支出表</w:t>
            </w:r>
            <w:r>
              <w:rPr>
                <w:rFonts w:hint="default" w:ascii="Dialog" w:hAnsi="Times New Roman"/>
                <w:sz w:val="32"/>
                <w:szCs w:val="24"/>
              </w:rPr>
              <w:t>-</w:t>
            </w:r>
            <w:r>
              <w:rPr>
                <w:rFonts w:hint="eastAsia" w:ascii="Dialog" w:hAnsi="Times New Roman"/>
                <w:sz w:val="32"/>
                <w:szCs w:val="24"/>
              </w:rPr>
              <w:t>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9、一般公共预算基本支出表</w:t>
            </w:r>
            <w:r>
              <w:rPr>
                <w:rFonts w:hint="default" w:ascii="Dialog" w:hAnsi="Times New Roman"/>
                <w:sz w:val="32"/>
                <w:szCs w:val="24"/>
              </w:rPr>
              <w:t>-</w:t>
            </w:r>
            <w:r>
              <w:rPr>
                <w:rFonts w:hint="eastAsia" w:ascii="Dialog" w:hAnsi="Times New Roman"/>
                <w:sz w:val="32"/>
                <w:szCs w:val="24"/>
              </w:rPr>
              <w:t>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10、一般公共预算基本支出表</w:t>
            </w:r>
            <w:r>
              <w:rPr>
                <w:rFonts w:hint="default" w:ascii="Dialog" w:hAnsi="Times New Roman"/>
                <w:sz w:val="32"/>
                <w:szCs w:val="24"/>
              </w:rPr>
              <w:t>-</w:t>
            </w:r>
            <w:r>
              <w:rPr>
                <w:rFonts w:hint="eastAsia" w:ascii="Dialog" w:hAnsi="Times New Roman"/>
                <w:sz w:val="32"/>
                <w:szCs w:val="24"/>
              </w:rPr>
              <w:t>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11、一般公共预算基本支出表</w:t>
            </w:r>
            <w:r>
              <w:rPr>
                <w:rFonts w:hint="default" w:ascii="Dialog" w:hAnsi="Times New Roman"/>
                <w:sz w:val="32"/>
                <w:szCs w:val="24"/>
              </w:rPr>
              <w:t>-</w:t>
            </w:r>
            <w:r>
              <w:rPr>
                <w:rFonts w:hint="eastAsia" w:ascii="Dialog" w:hAnsi="Times New Roman"/>
                <w:sz w:val="32"/>
                <w:szCs w:val="24"/>
              </w:rPr>
              <w:t>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12、一般公共预算基本支出表</w:t>
            </w:r>
            <w:r>
              <w:rPr>
                <w:rFonts w:hint="default" w:ascii="Dialog" w:hAnsi="Times New Roman"/>
                <w:sz w:val="32"/>
                <w:szCs w:val="24"/>
              </w:rPr>
              <w:t>-</w:t>
            </w:r>
            <w:r>
              <w:rPr>
                <w:rFonts w:hint="eastAsia" w:ascii="Dialog" w:hAnsi="Times New Roman"/>
                <w:sz w:val="32"/>
                <w:szCs w:val="24"/>
              </w:rPr>
              <w:t>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13、一般公共预算基本支出表</w:t>
            </w:r>
            <w:r>
              <w:rPr>
                <w:rFonts w:hint="default" w:ascii="Dialog" w:hAnsi="Times New Roman"/>
                <w:sz w:val="32"/>
                <w:szCs w:val="24"/>
              </w:rPr>
              <w:t>-</w:t>
            </w:r>
            <w:r>
              <w:rPr>
                <w:rFonts w:hint="eastAsia" w:ascii="Dialog" w:hAnsi="Times New Roman"/>
                <w:sz w:val="32"/>
                <w:szCs w:val="24"/>
              </w:rPr>
              <w:t>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22、部门整体支出绩效目标表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color w:val="FF0000"/>
                <w:sz w:val="32"/>
                <w:szCs w:val="24"/>
              </w:rPr>
            </w:pPr>
            <w:r>
              <w:rPr>
                <w:rFonts w:hint="eastAsia" w:ascii="Dialog" w:hAnsi="Times New Roman"/>
                <w:color w:val="FF0000"/>
                <w:sz w:val="32"/>
                <w:szCs w:val="24"/>
              </w:rPr>
              <w:t>注：以上部门预算公开报表中，空表表示本部门无相关收支情况。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jc w:val="center"/>
              <w:rPr>
                <w:rFonts w:hint="default" w:ascii="Dialog" w:hAnsi="Times New Roman"/>
                <w:sz w:val="32"/>
                <w:szCs w:val="24"/>
              </w:rPr>
            </w:pPr>
            <w:r>
              <w:rPr>
                <w:rFonts w:hint="eastAsia" w:ascii="Dialog" w:hAnsi="Times New Roman"/>
                <w:sz w:val="32"/>
                <w:szCs w:val="24"/>
              </w:rPr>
              <w:t>第一部分  2024年部门预算说明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一、部门基本概况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firstLine="640" w:firstLineChars="200"/>
              <w:rPr>
                <w:rFonts w:hint="eastAsia" w:ascii="宋体" w:hAnsi="Times New Roman"/>
                <w:sz w:val="32"/>
                <w:szCs w:val="24"/>
              </w:rPr>
            </w:pPr>
            <w:r>
              <w:rPr>
                <w:rFonts w:hint="eastAsia" w:ascii="宋体" w:hAnsi="Times New Roman"/>
                <w:sz w:val="32"/>
                <w:szCs w:val="24"/>
              </w:rPr>
              <w:t>1.贯彻创新驱动发展战略和创新引领开放崛起战略，拟订全市科技发展、引进国外及国内智力规划和政策并组织实施。</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2.统筹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拟订科学普及和科学传播规划、政策。统筹推进创新型县市区建设。</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3.牵头建立统一的市级科技管理平台和科研项目资金协调、评估、监管机制。会同有关部门提出优化配置科技资源的政策措施建议，推动多元化科技投入体系建设，协调管理市级财政科技计划(专项、基金等)并监督实施。</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4.拟订全市基础研究规划、政策和标准并组织实施，组织协调市级重大基础研究和应用基础研究。拟订重大科技创新基地建设规划并监督实施，参与编制重大科技基础设施建设规划和监督实施，牵头组织市重点实验室等重大科技创新基地建设，推动科研条件保障建设和科技资源开放共享。</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5.编制市级重大科技项目计划并监督实施，统筹关键共性技术、前沿引领技术、现代工程技术、颠覆性技术研发和创新，牵头组织重大技术攻关和成果应用示范。</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6.组织拟订高新技术发展及产业化、科技促进农业农村和社会发展的规划、政策和措施。组织开展重点领域技术发展需求分析，提出重大任务并监督实施。</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7.牵头市级技术转移体系建设，拟订科技成果转移转化和促进产学硏结合的相关政策措施并监督实施。指导科技服务业、技术市场、科技金融结合和科技中介组织发展。</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8.统筹区域科技创新体系建设，指导区域创新发展、科技资源合理布局和协同创新能力建设，推动科技园区建设。</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9.负责科技监督评价体系建设和相关科技评信管理，指导科技评价机制改革，统筹科研诚信建设。组织实施全市创新调查和科技报告制度，指导全市科技保密工作。</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10.拟订科技对外交往与创新能力开放合作的规划、政策和措施，组织开展国际和区域科技合作与科技人才交流。指导相关部门和地方对外科技合作与科技人才交流工作。</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11.负责引进国外和国内智力工作。拟订全市重点引进外国专家总体规划、计划并组织实施，建立国外和国内顶尖科学家、团队吸引集聚机制和重点国内外专家联系服务机制。拟订出国(境)培训总体规划、政策和年度计划并监督实施。</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12.会同有关部门拟订科技人才队伍建设规划和政策，建立健全科技人才评价和激励机制，组织实施科技人才计划，推动高端科技创新人才队伍建设。</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13.负责省科学技术奖等的申报组织工作。</w:t>
            </w:r>
          </w:p>
          <w:p>
            <w:pPr>
              <w:spacing w:line="375" w:lineRule="exact"/>
              <w:ind w:firstLine="640" w:firstLineChars="200"/>
              <w:rPr>
                <w:rFonts w:hint="eastAsia" w:ascii="宋体" w:hAnsi="Times New Roman"/>
                <w:sz w:val="32"/>
                <w:szCs w:val="24"/>
              </w:rPr>
            </w:pPr>
            <w:r>
              <w:rPr>
                <w:rFonts w:hint="eastAsia" w:ascii="宋体" w:hAnsi="Times New Roman"/>
                <w:sz w:val="32"/>
                <w:szCs w:val="24"/>
              </w:rPr>
              <w:t>14.负责管理岳阳市自然科学基金委员会(以下简称市自然科学基金委)，依法对市自然科学基金工作进行宏观管理、统筹协调和监督评估。市自然科学基金委依法管理市自然科学基金，相对独立运行，负责资助计划、项目设置和评审、立项、监督等组织实施工作。</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15.完成市委、市政府交办的其他任务。</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16.职能转变。围绕贯彻实施科教兴国战略、人才强国战略、创新驱动发展战略和创新引领开放崛起战略，加强、优化、转变政府科技管理和服务职能，完善科技创新制度和组织体系，加强宏观管理、统筹协调和科研诚信建设。从研发管理向创新服务转变，深入推进科技计划管理改革，建立公开统一的市级科技管理平台，减少科技计划项目配置中的重复、分散、封闭、低效现象。进一步改进科技人才评价机制，建立健全以创新能力、质量、贡献、绩效为导向的科技人才评价体系和激励政策，统筹市内科技人才队伍建设和引进国外智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局机关内设科室11个，即办公室、政策法规科、战略规划与资源配置科、基础研究科、高新技术发展及产业化科、农村科技科、社会发展科技科、成果转化与区域创新科、人事科(人才工作办公室) 、机关党委、机关纪委。</w:t>
            </w:r>
          </w:p>
          <w:p>
            <w:pPr>
              <w:spacing w:line="375" w:lineRule="exact"/>
              <w:ind w:left="20" w:firstLine="640" w:firstLineChars="200"/>
              <w:rPr>
                <w:rFonts w:hint="eastAsia" w:ascii="宋体" w:hAnsi="Times New Roman"/>
                <w:sz w:val="32"/>
                <w:szCs w:val="24"/>
              </w:rPr>
            </w:pPr>
            <w:r>
              <w:rPr>
                <w:rFonts w:hint="eastAsia" w:ascii="宋体" w:hAnsi="Times New Roman"/>
                <w:sz w:val="32"/>
                <w:szCs w:val="24"/>
              </w:rPr>
              <w:t>下设直属单位1个，市科技事务中心。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二、部门预算构成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本部门预算为汇总预算，纳入编制范围的预算单位包括：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1、</w:t>
            </w:r>
            <w:r>
              <w:rPr>
                <w:rFonts w:hint="eastAsia" w:ascii="宋体" w:hAnsi="Times New Roman"/>
                <w:sz w:val="32"/>
                <w:szCs w:val="24"/>
                <w:lang w:val="en"/>
              </w:rPr>
              <w:t>岳阳市科学技术局</w:t>
            </w:r>
            <w:r>
              <w:rPr>
                <w:rFonts w:hint="eastAsia" w:ascii="宋体" w:hAnsi="Times New Roman"/>
                <w:sz w:val="32"/>
                <w:szCs w:val="24"/>
              </w:rPr>
              <w:t>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lang w:val="en"/>
              </w:rPr>
            </w:pPr>
            <w:r>
              <w:rPr>
                <w:rFonts w:hint="eastAsia" w:ascii="宋体" w:hAnsi="Times New Roman"/>
                <w:sz w:val="32"/>
                <w:szCs w:val="24"/>
              </w:rPr>
              <w:t xml:space="preserve">    2、</w:t>
            </w:r>
            <w:r>
              <w:rPr>
                <w:rFonts w:hint="eastAsia" w:ascii="宋体" w:hAnsi="Times New Roman"/>
                <w:sz w:val="32"/>
                <w:szCs w:val="24"/>
                <w:lang w:val="en"/>
              </w:rPr>
              <w:t>岳阳市科技事务中心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三、部门收支总体情况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本部门2024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（一）收入预算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122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lang w:val="en"/>
              </w:rPr>
            </w:pPr>
            <w:r>
              <w:rPr>
                <w:rFonts w:hint="eastAsia" w:ascii="宋体" w:hAnsi="Times New Roman"/>
                <w:sz w:val="32"/>
                <w:szCs w:val="24"/>
              </w:rPr>
              <w:t xml:space="preserve">  包括一般公共预算、政府性基金、国有资本经营预算等财政拨款收入，以及经营收入、事业收入等单位资金。2024年度年本部门收入预算994.73万元，其中，一般公共预算拨款994.73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部门2024年收入较去年增加</w:t>
            </w:r>
            <w:r>
              <w:rPr>
                <w:rFonts w:hint="eastAsia" w:ascii="宋体" w:hAnsi="Times New Roman"/>
                <w:sz w:val="32"/>
                <w:szCs w:val="24"/>
                <w:lang w:val="en"/>
              </w:rPr>
              <w:t>80.34</w:t>
            </w:r>
            <w:r>
              <w:rPr>
                <w:rFonts w:hint="eastAsia" w:ascii="宋体" w:hAnsi="Times New Roman"/>
                <w:sz w:val="32"/>
                <w:szCs w:val="24"/>
              </w:rPr>
              <w:t>万元，主要是因为增加科技交流与合作、科技条件与服务、保运转专项经费。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2024年本部门支出预算994.73万元，其中，206科学技术支出814.23万元，208社会保障和就业支出71.27万元，210卫生健康支出61.64万元，221住房保障支出47.59万元，支出较去年增加80.34万元，主要是因为科技交流与合作、科技条件与服务、保运转专项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2024年一般公共预算拨款支出预算994.73万元，其中，206科学技术支出814.23万元，占81.85%；208社会保障和就业支出71.27万元，占7.16%；210卫生健康支出61.64万元，占6.2%；221住房保障支出47.59万元，占4.78%；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一）基本支出：2024年基本支出年初预算数为909.73万元（数据来源见表23），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97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二）项目支出：2024年项目支出年初预算数为85.00万元（数据来源见表20），是指部门为完成特定行政工作任务或事业发展目标而发生的支出，包括有关业务工作经费、运行维护经费、其他事业发展资金等。其中：保运转专项补助专项支出50.00万元，主要用于机关保运转开支方面,科技交流与合作专项支出15.00万元，主要用于科技交流与合作方面,科技条件与服务专项支出20.00万元，主要用于科技条件与服务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2024年度本部门无政府性基金安排的支出，所以公开的附件15-17（政府性基金预算）为空。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本部门2024年机关运行经费当年一般公共预算拨款116.07万元（数据来源见表12），比上一年减少10.54万元，降低8.32%。主要原因是残保金、离退休党建经费等增加导致机关商品和服务支出减少。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本部门2024年“三公”经费预算数8.28万元（数据来源见表14），其中，公务接待费5.28万元，因公出国（境）费0.00万元，公务用车购置及运行费3.00万元（其中，公务用车购置费0.00万元，公务用车运行费3.00万元）。2024年三公经费预算较上年减少0.02万元，主要原因是单位厉行节约，减少三公经费预算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97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本部门2024年会议费预算1.00万元（数据来源见表13会议费、培训费），拟召开1次会议，人数50人，内容为全市科技工作部署会。2024年度本部门未计划安排培训，未计划举办节庆、晚会、论坛、赛事活动。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本部门2024年政府采购预算总额272万元，其中工程类12万元，货物类66万元，服务类194万元。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2210"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截至上年底，本部门共有车辆1辆，其中领导干部用车0辆，一般公务用车1辆，其他用车0辆。单位价值50万元以上通用设备0台，单位价值100万元以上专用设备0台。</w:t>
            </w:r>
          </w:p>
          <w:p>
            <w:pPr>
              <w:spacing w:line="375" w:lineRule="exact"/>
              <w:ind w:left="20" w:firstLine="320" w:firstLineChars="100"/>
              <w:rPr>
                <w:rFonts w:hint="eastAsia" w:ascii="宋体" w:hAnsi="Times New Roman"/>
                <w:sz w:val="32"/>
                <w:szCs w:val="24"/>
              </w:rPr>
            </w:pPr>
            <w:r>
              <w:rPr>
                <w:rFonts w:hint="eastAsia" w:ascii="宋体" w:hAnsi="Times New Roman"/>
                <w:sz w:val="32"/>
                <w:szCs w:val="24"/>
              </w:rPr>
              <w:t>2024年度本部门未计划处置或新增车辆、设备等。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本部门所有支出实行绩效目标管理。纳入2024年部门整体支出绩效目标的金额为994.73万元，其中，基本支出909.73万元，项目支出85.00万元，详见文尾附表中部门预算公开表格的表21-22。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default" w:ascii="Dialog" w:hAnsi="Times New Roman"/>
                <w:sz w:val="32"/>
                <w:szCs w:val="24"/>
              </w:rPr>
            </w:pPr>
            <w:r>
              <w:rPr>
                <w:rFonts w:hint="eastAsia" w:ascii="Dialog" w:hAnsi="Times New Roman"/>
                <w:sz w:val="32"/>
                <w:szCs w:val="24"/>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 xml:space="preserve">  2、“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jc w:val="center"/>
              <w:rPr>
                <w:rFonts w:hint="default" w:ascii="Dialog" w:hAnsi="Times New Roman"/>
                <w:sz w:val="32"/>
                <w:szCs w:val="24"/>
              </w:rPr>
            </w:pPr>
            <w:r>
              <w:rPr>
                <w:rFonts w:hint="eastAsia" w:ascii="Dialog" w:hAnsi="Times New Roman"/>
                <w:sz w:val="32"/>
                <w:szCs w:val="24"/>
              </w:rPr>
              <w:t>第二部分  2024年部门预算公开表格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22、部门整体支出绩效目标表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sz w:val="32"/>
                <w:szCs w:val="24"/>
              </w:rPr>
            </w:pPr>
            <w:r>
              <w:rPr>
                <w:rFonts w:hint="eastAsia" w:ascii="宋体" w:hAnsi="Times New Roman"/>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olor w:val="FF0000"/>
                <w:sz w:val="32"/>
                <w:szCs w:val="24"/>
              </w:rPr>
            </w:pPr>
            <w:r>
              <w:rPr>
                <w:rFonts w:hint="eastAsia" w:ascii="宋体" w:hAnsi="Times New Roman"/>
                <w:b/>
                <w:color w:val="FF0000"/>
                <w:sz w:val="32"/>
                <w:szCs w:val="24"/>
              </w:rPr>
              <w:t>注：以上部门预算公开报表中，空表表示本部门无相关收支情况。</w:t>
            </w:r>
          </w:p>
        </w:tc>
      </w:tr>
    </w:tbl>
    <w:p>
      <w:pPr>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0" w:usb3="00000000" w:csb0="00040001" w:csb1="00000000"/>
  </w:font>
  <w:font w:name="Cambria">
    <w:altName w:val="华文仿宋"/>
    <w:panose1 w:val="02040503050406030204"/>
    <w:charset w:val="00"/>
    <w:family w:val="roman"/>
    <w:pitch w:val="default"/>
    <w:sig w:usb0="00000000" w:usb1="00000000" w:usb2="00000000" w:usb3="00000000" w:csb0="00040001" w:csb1="00000000"/>
  </w:font>
  <w:font w:name="微软雅黑">
    <w:altName w:val="黑体"/>
    <w:panose1 w:val="020B0503020204020204"/>
    <w:charset w:val="00"/>
    <w:family w:val="swiss"/>
    <w:pitch w:val="default"/>
    <w:sig w:usb0="00000000" w:usb1="00000000" w:usb2="00000000" w:usb3="00000000" w:csb0="00040001" w:csb1="00000000"/>
  </w:font>
  <w:font w:name="Dialog">
    <w:altName w:val="Nimbus Roman No9 L"/>
    <w:panose1 w:val="00000000000000000000"/>
    <w:charset w:val="00"/>
    <w:family w:val="roman"/>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7FB8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eastAsia" w:ascii="Arial" w:hAnsi="Arial" w:eastAsia="宋体"/>
      <w:color w:val="000000"/>
      <w:sz w:val="24"/>
      <w:szCs w:val="24"/>
      <w:lang w:val="en-US" w:eastAsia="zh-CN"/>
    </w:rPr>
  </w:style>
  <w:style w:type="paragraph" w:styleId="3">
    <w:name w:val="heading 1"/>
    <w:basedOn w:val="1"/>
    <w:next w:val="1"/>
    <w:link w:val="14"/>
    <w:unhideWhenUsed/>
    <w:qFormat/>
    <w:uiPriority w:val="9"/>
    <w:pPr>
      <w:outlineLvl w:val="0"/>
    </w:pPr>
    <w:rPr>
      <w:rFonts w:hint="eastAsia"/>
      <w:b/>
      <w:sz w:val="32"/>
      <w:szCs w:val="24"/>
    </w:rPr>
  </w:style>
  <w:style w:type="paragraph" w:styleId="4">
    <w:name w:val="heading 2"/>
    <w:basedOn w:val="1"/>
    <w:next w:val="1"/>
    <w:link w:val="12"/>
    <w:unhideWhenUsed/>
    <w:qFormat/>
    <w:uiPriority w:val="99"/>
    <w:pPr>
      <w:outlineLvl w:val="1"/>
    </w:pPr>
    <w:rPr>
      <w:rFonts w:hint="eastAsia"/>
      <w:b/>
      <w:i/>
      <w:sz w:val="28"/>
      <w:szCs w:val="24"/>
    </w:rPr>
  </w:style>
  <w:style w:type="paragraph" w:styleId="5">
    <w:name w:val="heading 3"/>
    <w:basedOn w:val="1"/>
    <w:next w:val="1"/>
    <w:link w:val="11"/>
    <w:unhideWhenUsed/>
    <w:qFormat/>
    <w:uiPriority w:val="99"/>
    <w:pPr>
      <w:outlineLvl w:val="2"/>
    </w:pPr>
    <w:rPr>
      <w:rFonts w:hint="eastAsia"/>
      <w:b/>
      <w:sz w:val="26"/>
      <w:szCs w:val="24"/>
    </w:rPr>
  </w:style>
  <w:style w:type="character" w:default="1" w:styleId="10">
    <w:name w:val="Default Paragraph Font"/>
    <w:unhideWhenUsed/>
    <w:uiPriority w:val="1"/>
    <w:rPr>
      <w:rFonts w:hint="default"/>
      <w:sz w:val="24"/>
      <w:szCs w:val="24"/>
    </w:rPr>
  </w:style>
  <w:style w:type="table" w:default="1" w:styleId="9">
    <w:name w:val="Normal Table"/>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rPr>
      <w:rFonts w:hint="eastAsia"/>
      <w:sz w:val="24"/>
      <w:szCs w:val="24"/>
    </w:rPr>
  </w:style>
  <w:style w:type="paragraph" w:styleId="6">
    <w:name w:val="footer"/>
    <w:basedOn w:val="1"/>
    <w:link w:val="13"/>
    <w:unhideWhenUsed/>
    <w:uiPriority w:val="99"/>
    <w:pPr>
      <w:tabs>
        <w:tab w:val="center" w:pos="4153"/>
        <w:tab w:val="right" w:pos="8306"/>
      </w:tabs>
      <w:snapToGrid w:val="0"/>
    </w:pPr>
    <w:rPr>
      <w:rFonts w:hint="eastAsia"/>
      <w:sz w:val="18"/>
      <w:szCs w:val="24"/>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rFonts w:hint="eastAsia"/>
      <w:sz w:val="18"/>
      <w:szCs w:val="24"/>
    </w:rPr>
  </w:style>
  <w:style w:type="paragraph" w:styleId="8">
    <w:name w:val="Normal (Web)"/>
    <w:basedOn w:val="1"/>
    <w:unhideWhenUsed/>
    <w:qFormat/>
    <w:uiPriority w:val="99"/>
    <w:pPr>
      <w:spacing w:before="100" w:beforeAutospacing="1" w:after="100" w:afterAutospacing="1"/>
    </w:pPr>
    <w:rPr>
      <w:rFonts w:hint="eastAsia"/>
      <w:sz w:val="24"/>
      <w:szCs w:val="24"/>
    </w:rPr>
  </w:style>
  <w:style w:type="character" w:customStyle="1" w:styleId="11">
    <w:name w:val="标题 3 Char"/>
    <w:basedOn w:val="10"/>
    <w:link w:val="5"/>
    <w:unhideWhenUsed/>
    <w:locked/>
    <w:uiPriority w:val="9"/>
    <w:rPr>
      <w:rFonts w:hint="default" w:ascii="Times New Roman" w:hAnsi="Times New Roman" w:eastAsia="宋体"/>
      <w:b/>
      <w:sz w:val="32"/>
      <w:szCs w:val="24"/>
    </w:rPr>
  </w:style>
  <w:style w:type="character" w:customStyle="1" w:styleId="12">
    <w:name w:val="标题 2 Char"/>
    <w:basedOn w:val="10"/>
    <w:link w:val="4"/>
    <w:unhideWhenUsed/>
    <w:locked/>
    <w:uiPriority w:val="9"/>
    <w:rPr>
      <w:rFonts w:hint="eastAsia" w:ascii="Cambria" w:hAnsi="Cambria" w:eastAsia="宋体"/>
      <w:b/>
      <w:sz w:val="32"/>
      <w:szCs w:val="24"/>
    </w:rPr>
  </w:style>
  <w:style w:type="character" w:customStyle="1" w:styleId="13">
    <w:name w:val="页脚 Char"/>
    <w:basedOn w:val="10"/>
    <w:link w:val="6"/>
    <w:unhideWhenUsed/>
    <w:locked/>
    <w:uiPriority w:val="99"/>
    <w:rPr>
      <w:rFonts w:hint="default" w:ascii="Arial" w:hAnsi="Times New Roman" w:eastAsia="宋体"/>
      <w:color w:val="000000"/>
      <w:sz w:val="18"/>
      <w:szCs w:val="24"/>
    </w:rPr>
  </w:style>
  <w:style w:type="character" w:customStyle="1" w:styleId="14">
    <w:name w:val="标题 1 Char"/>
    <w:basedOn w:val="10"/>
    <w:link w:val="3"/>
    <w:unhideWhenUsed/>
    <w:locked/>
    <w:uiPriority w:val="9"/>
    <w:rPr>
      <w:rFonts w:hint="default" w:ascii="Times New Roman" w:hAnsi="Times New Roman" w:eastAsia="宋体"/>
      <w:b/>
      <w:kern w:val="44"/>
      <w:sz w:val="44"/>
      <w:szCs w:val="24"/>
    </w:rPr>
  </w:style>
  <w:style w:type="character" w:customStyle="1" w:styleId="15">
    <w:name w:val="页眉 Char"/>
    <w:basedOn w:val="10"/>
    <w:link w:val="7"/>
    <w:unhideWhenUsed/>
    <w:locked/>
    <w:uiPriority w:val="99"/>
    <w:rPr>
      <w:rFonts w:hint="default" w:ascii="Arial" w:hAnsi="Times New Roman" w:eastAsia="宋体"/>
      <w:color w:val="000000"/>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2024-04-03T09:34:54Z</dcterms:created>
  <dc:creator>xjkp</dc:creator>
  <cp:lastModifiedBy>xjkp</cp:lastModifiedBy>
  <dcterms:modified xsi:type="dcterms:W3CDTF">2024-04-03T09:35:06Z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