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岳阳市科学技术局</w:t>
      </w:r>
      <w:r>
        <w:rPr>
          <w:rFonts w:hint="eastAsia" w:ascii="方正小标宋_GBK" w:hAnsi="方正小标宋_GBK" w:eastAsia="方正小标宋_GBK" w:cs="方正小标宋_GBK"/>
          <w:sz w:val="84"/>
          <w:szCs w:val="84"/>
        </w:rPr>
        <w:t>部门决算</w:t>
      </w:r>
    </w:p>
    <w:p>
      <w:pPr>
        <w:pStyle w:val="12"/>
        <w:jc w:val="center"/>
        <w:rPr>
          <w:rFonts w:hint="eastAsia" w:ascii="方正小标宋_GBK" w:hAnsi="方正小标宋_GBK" w:eastAsia="方正小标宋_GBK" w:cs="方正小标宋_GBK"/>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both"/>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岳阳市科学技术局</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2"/>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2"/>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岳阳市科学技术局</w:t>
      </w:r>
      <w:r>
        <w:rPr>
          <w:rFonts w:hint="eastAsia" w:ascii="方正小标宋_GBK" w:hAnsi="方正小标宋_GBK" w:eastAsia="方正小标宋_GBK" w:cs="方正小标宋_GBK"/>
          <w:sz w:val="84"/>
          <w:szCs w:val="84"/>
        </w:rPr>
        <w:t>概况</w:t>
      </w:r>
    </w:p>
    <w:p>
      <w:pPr>
        <w:pStyle w:val="7"/>
        <w:rPr>
          <w:rFonts w:hint="eastAsia" w:ascii="方正小标宋_GBK" w:hAnsi="方正小标宋_GBK" w:eastAsia="方正小标宋_GBK" w:cs="方正小标宋_GBK"/>
          <w:sz w:val="84"/>
          <w:szCs w:val="84"/>
        </w:rPr>
      </w:pPr>
    </w:p>
    <w:p>
      <w:pPr>
        <w:pStyle w:val="4"/>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7"/>
        <w:rPr>
          <w:rFonts w:hint="eastAsia" w:ascii="方正小标宋_GBK" w:hAnsi="方正小标宋_GBK" w:eastAsia="方正小标宋_GBK" w:cs="方正小标宋_GBK"/>
          <w:sz w:val="84"/>
          <w:szCs w:val="84"/>
        </w:rPr>
      </w:pPr>
    </w:p>
    <w:p>
      <w:pPr>
        <w:pStyle w:val="4"/>
        <w:rPr>
          <w:rFonts w:hint="eastAsia" w:ascii="方正小标宋_GBK" w:hAnsi="方正小标宋_GBK" w:eastAsia="方正小标宋_GBK" w:cs="方正小标宋_GBK"/>
          <w:sz w:val="84"/>
          <w:szCs w:val="84"/>
        </w:rPr>
      </w:pPr>
    </w:p>
    <w:p>
      <w:pPr>
        <w:pStyle w:val="13"/>
        <w:numPr>
          <w:ilvl w:val="0"/>
          <w:numId w:val="1"/>
        </w:numPr>
        <w:ind w:firstLineChars="0"/>
        <w:jc w:val="left"/>
        <w:rPr>
          <w:rFonts w:hint="eastAsia" w:ascii="Times New Roman" w:hAnsi="Times New Roman" w:eastAsia="仿宋_GB2312" w:cs="仿宋_GB2312"/>
          <w:sz w:val="32"/>
          <w:szCs w:val="32"/>
        </w:rPr>
      </w:pPr>
      <w:r>
        <w:rPr>
          <w:rFonts w:hint="eastAsia" w:ascii="黑体" w:hAnsi="黑体" w:eastAsia="黑体" w:cs="黑体"/>
          <w:b w:val="0"/>
          <w:bCs w:val="0"/>
          <w:sz w:val="32"/>
          <w:szCs w:val="32"/>
        </w:rPr>
        <w:t>部门职责</w:t>
      </w:r>
    </w:p>
    <w:p>
      <w:pPr>
        <w:pStyle w:val="13"/>
        <w:numPr>
          <w:ilvl w:val="0"/>
          <w:numId w:val="2"/>
        </w:numPr>
        <w:ind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贯彻创新驱动发展战略和创新引领开放崛起战略，拟订全市科技发展、引进国外及国内智力规划和政策并组织实施。</w:t>
      </w:r>
    </w:p>
    <w:p>
      <w:pPr>
        <w:pStyle w:val="13"/>
        <w:numPr>
          <w:ilvl w:val="0"/>
          <w:numId w:val="2"/>
        </w:numPr>
        <w:ind w:left="0"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统筹推进全市创新体系建设和科技体制改革，会同有关部门健全技术创新激励机制。优化科研体系建设，指导科研机构改革发展，推动企业科技创新能力建设，承担推进科技军民融合发展相关工作，推进全市重大科技决策咨询制度建设。拟订科学普及和科学传播规划、政策。统筹推进创新型县市区建设。</w:t>
      </w:r>
    </w:p>
    <w:p>
      <w:pPr>
        <w:pStyle w:val="13"/>
        <w:numPr>
          <w:ilvl w:val="0"/>
          <w:numId w:val="2"/>
        </w:numPr>
        <w:ind w:left="0"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牵头建立统一的市级科技管理平台和科研项目资金协调、评估、监管机制。会同有关部门提出优化配置科技资源的政策措施建议，推动多元化科技投入体系建设，协调管理市级财政科技计划(专项、基金等)并监督实施。</w:t>
      </w:r>
    </w:p>
    <w:p>
      <w:pPr>
        <w:pStyle w:val="13"/>
        <w:numPr>
          <w:ilvl w:val="0"/>
          <w:numId w:val="2"/>
        </w:numPr>
        <w:ind w:left="0"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拟订全市基础研究规划、政策和标准并组织实施，组织协调市级重大基础研究和应用基础研究。拟订重大科技创新基地建设规划并监督实施，参与编制重大科技基础设施建设规划和监督实施，牵头组织市重点实验室等重大科技创新基地建设，推动科研条件保障建设和科技资源开放共享。</w:t>
      </w:r>
    </w:p>
    <w:p>
      <w:pPr>
        <w:pStyle w:val="13"/>
        <w:numPr>
          <w:ilvl w:val="0"/>
          <w:numId w:val="2"/>
        </w:numPr>
        <w:ind w:left="0"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编制市级重大科技项目计划并监督实施，统筹关键共性技术、前沿引领技术、现代工程技术、颠覆性技术研发和创新，牵头组织重大技术攻关和成果应用示范。</w:t>
      </w:r>
    </w:p>
    <w:p>
      <w:pPr>
        <w:pStyle w:val="13"/>
        <w:numPr>
          <w:ilvl w:val="0"/>
          <w:numId w:val="2"/>
        </w:numPr>
        <w:ind w:left="0"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组织拟订高新技术发展及产业化、科技促进农业农村和社会发展的规划、政策和措施。组织开展重点领域技术发展需求分析，提出重大任务并监督实施。</w:t>
      </w:r>
    </w:p>
    <w:p>
      <w:pPr>
        <w:pStyle w:val="13"/>
        <w:numPr>
          <w:ilvl w:val="0"/>
          <w:numId w:val="2"/>
        </w:numPr>
        <w:ind w:left="0"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牵头市级技术转移体系建设，拟订科技成果转移转化和促进产学硏结合的相关政策措施并监督实施。指导科技服务业、技术市场、科技金融结合和科技中介组织发展。</w:t>
      </w:r>
    </w:p>
    <w:p>
      <w:pPr>
        <w:pStyle w:val="13"/>
        <w:numPr>
          <w:ilvl w:val="0"/>
          <w:numId w:val="2"/>
        </w:numPr>
        <w:ind w:left="0"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统筹区域科技创新体系建设，指导区域创新发展、科技资源合理布局和协同创新能力建设，推动科技园区建设。</w:t>
      </w:r>
    </w:p>
    <w:p>
      <w:pPr>
        <w:pStyle w:val="13"/>
        <w:numPr>
          <w:ilvl w:val="0"/>
          <w:numId w:val="2"/>
        </w:numPr>
        <w:ind w:left="0"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负责科技监督评价体系建设和相关科技评信管理，指导科技评价机制改革，统筹科研诚信建设。组织实施全市创新调查和科技报告制度，指导全市科技保密工作。</w:t>
      </w:r>
    </w:p>
    <w:p>
      <w:pPr>
        <w:pStyle w:val="13"/>
        <w:numPr>
          <w:ilvl w:val="0"/>
          <w:numId w:val="2"/>
        </w:numPr>
        <w:ind w:left="0"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拟订科技对外交往与创新能力开放合作的规划、政策和措施，组织开展国际和区域科技合作与科技人才交流。指导相关部门和地方对外科技合作与科技人才交流工作。</w:t>
      </w:r>
    </w:p>
    <w:p>
      <w:pPr>
        <w:pStyle w:val="13"/>
        <w:numPr>
          <w:ilvl w:val="0"/>
          <w:numId w:val="2"/>
        </w:numPr>
        <w:ind w:left="0"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负责引进国外和国内智力工作。拟订全市重点引进外国专家总体规划、计划并组织实施，建立国外和国内顶尖科学家、团队吸引集聚机制和重点国内外专家联系服务机制。拟订出国(境)培训总体规划、政策和年度计划并监督实施。</w:t>
      </w:r>
    </w:p>
    <w:p>
      <w:pPr>
        <w:pStyle w:val="13"/>
        <w:numPr>
          <w:ilvl w:val="0"/>
          <w:numId w:val="2"/>
        </w:numPr>
        <w:ind w:left="0"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会同有关部门拟订科技人才队伍建设规划和政策，建立健全科技人才评价和激励机制，组织实施科技人才计划，推动高端科技创新人才队伍建设。</w:t>
      </w:r>
    </w:p>
    <w:p>
      <w:pPr>
        <w:pStyle w:val="13"/>
        <w:numPr>
          <w:ilvl w:val="0"/>
          <w:numId w:val="2"/>
        </w:numPr>
        <w:ind w:left="0"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负责省科学技术奖等的申报组织工作。</w:t>
      </w:r>
    </w:p>
    <w:p>
      <w:pPr>
        <w:pStyle w:val="13"/>
        <w:numPr>
          <w:ilvl w:val="0"/>
          <w:numId w:val="2"/>
        </w:numPr>
        <w:ind w:left="0"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负责管理岳阳市自然科学基金委员会(以下简称市自然科学基金委)，依法对市自然科学基金工作进行宏观管理、统筹协调和监督评估。市自然科学基金委依法管理市自然科学基金，相对独立运行，负责资助计划、项目设置和评审、立项、监督等组织实施工作。</w:t>
      </w:r>
    </w:p>
    <w:p>
      <w:pPr>
        <w:pStyle w:val="13"/>
        <w:numPr>
          <w:ilvl w:val="0"/>
          <w:numId w:val="2"/>
        </w:numPr>
        <w:ind w:left="0"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完成市委、市政府交办的其他任务。</w:t>
      </w:r>
    </w:p>
    <w:p>
      <w:pPr>
        <w:pStyle w:val="13"/>
        <w:numPr>
          <w:ilvl w:val="0"/>
          <w:numId w:val="0"/>
        </w:num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六)职能转变。围绕贯彻实施科教兴国战略、人才强国战略、创新驱动发展战略和创新引领开放崛起战略，加强、优化、转变政府科技管理和服务职能，完善科技创新制度和组织体系，加强宏观管理、统筹协调和科研诚信建设。从研发管理向创新服务转变，深入推进科技计划管理改革，建立公开统一的市级科技管理平台，减少科技计划项目配置中的重复、分散、封闭、低效现象。进一步改进科技人才评价机制，建立健全以创新能力、质量、贡献、绩效为导向的科技人才评价体系和激励政策，统筹市内科技人才队伍建设和引进国外智力工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960" w:firstLineChars="3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pPr>
        <w:widowControl/>
        <w:spacing w:line="600" w:lineRule="exact"/>
        <w:ind w:firstLine="960" w:firstLineChars="300"/>
        <w:rPr>
          <w:rFonts w:hint="eastAsia"/>
        </w:rPr>
      </w:pPr>
      <w:r>
        <w:rPr>
          <w:rFonts w:hint="eastAsia" w:ascii="Times New Roman" w:hAnsi="Times New Roman" w:eastAsia="仿宋_GB2312" w:cs="仿宋_GB2312"/>
          <w:bCs/>
          <w:kern w:val="0"/>
          <w:sz w:val="32"/>
          <w:szCs w:val="32"/>
        </w:rPr>
        <w:t>岳阳市科学技术局单位内设机构包括：办公室</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战略规划与资源配置科</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政策法规与创新体系建设科</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基础研究科</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高新技术发展及产业化科</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农村科技科</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社会发展科技科</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成果转化与区域创新科</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人事科（人才工作办公室、离退休人员管理服务科）</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机关党委</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机关纪委</w:t>
      </w:r>
      <w:r>
        <w:rPr>
          <w:rFonts w:hint="eastAsia" w:ascii="Times New Roman" w:hAnsi="Times New Roman" w:eastAsia="仿宋_GB2312" w:cs="仿宋_GB2312"/>
          <w:bCs/>
          <w:kern w:val="0"/>
          <w:sz w:val="32"/>
          <w:szCs w:val="32"/>
          <w:lang w:eastAsia="zh-CN"/>
        </w:rPr>
        <w:t>。</w:t>
      </w:r>
    </w:p>
    <w:p>
      <w:pPr>
        <w:widowControl/>
        <w:spacing w:line="600" w:lineRule="exact"/>
        <w:ind w:firstLine="960" w:firstLineChars="3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eastAsia="zh-CN"/>
        </w:rPr>
        <w:t>（二）</w:t>
      </w:r>
      <w:r>
        <w:rPr>
          <w:rFonts w:hint="eastAsia" w:ascii="Times New Roman" w:hAnsi="Times New Roman" w:eastAsia="仿宋_GB2312" w:cs="仿宋_GB2312"/>
          <w:bCs/>
          <w:kern w:val="0"/>
          <w:sz w:val="32"/>
          <w:szCs w:val="32"/>
        </w:rPr>
        <w:t>决算单位构成。</w:t>
      </w:r>
    </w:p>
    <w:p>
      <w:pPr>
        <w:widowControl/>
        <w:spacing w:line="600" w:lineRule="exact"/>
        <w:ind w:firstLine="960" w:firstLineChars="3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岳阳市科学技术局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年部门决算汇总公开单位构成包括：岳阳市科学技术局单位本级以及</w:t>
      </w:r>
      <w:r>
        <w:rPr>
          <w:rFonts w:hint="eastAsia" w:ascii="Times New Roman" w:hAnsi="Times New Roman" w:eastAsia="仿宋_GB2312" w:cs="仿宋_GB2312"/>
          <w:bCs/>
          <w:kern w:val="0"/>
          <w:sz w:val="32"/>
          <w:szCs w:val="32"/>
          <w:lang w:eastAsia="zh-CN"/>
        </w:rPr>
        <w:t>岳阳市科技事务中心。</w:t>
      </w:r>
    </w:p>
    <w:p>
      <w:pPr>
        <w:widowControl/>
        <w:spacing w:line="600" w:lineRule="exact"/>
        <w:rPr>
          <w:rFonts w:hint="eastAsia" w:ascii="Times New Roman" w:hAnsi="Times New Roman" w:eastAsia="仿宋_GB2312" w:cs="仿宋_GB2312"/>
          <w:bCs/>
          <w:kern w:val="0"/>
          <w:sz w:val="32"/>
          <w:szCs w:val="32"/>
        </w:rPr>
      </w:pPr>
    </w:p>
    <w:p>
      <w:pPr>
        <w:pStyle w:val="4"/>
      </w:pPr>
    </w:p>
    <w:p/>
    <w:p>
      <w:pPr>
        <w:pStyle w:val="7"/>
      </w:pPr>
    </w:p>
    <w:p>
      <w:pPr>
        <w:pStyle w:val="4"/>
      </w:pPr>
    </w:p>
    <w:p/>
    <w:p>
      <w:pPr>
        <w:pStyle w:val="7"/>
      </w:pPr>
    </w:p>
    <w:p>
      <w:pPr>
        <w:pStyle w:val="4"/>
      </w:pPr>
    </w:p>
    <w:p/>
    <w:p>
      <w:pPr>
        <w:pStyle w:val="7"/>
      </w:pPr>
    </w:p>
    <w:p>
      <w:pPr>
        <w:pStyle w:val="4"/>
      </w:pPr>
    </w:p>
    <w:p/>
    <w:p>
      <w:pPr>
        <w:pStyle w:val="7"/>
      </w:pPr>
    </w:p>
    <w:p>
      <w:pPr>
        <w:pStyle w:val="4"/>
      </w:pPr>
    </w:p>
    <w:p/>
    <w:p>
      <w:pPr>
        <w:pStyle w:val="7"/>
      </w:pPr>
    </w:p>
    <w:p>
      <w:pPr>
        <w:pStyle w:val="4"/>
      </w:pPr>
    </w:p>
    <w:p/>
    <w:p>
      <w:pPr>
        <w:pStyle w:val="7"/>
      </w:pPr>
    </w:p>
    <w:p>
      <w:pPr>
        <w:pStyle w:val="4"/>
      </w:pPr>
    </w:p>
    <w:p>
      <w:pPr>
        <w:pStyle w:val="12"/>
        <w:jc w:val="both"/>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2"/>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jc w:val="both"/>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1441.93</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30.96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2.19</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公务员招录及四海揽才人员增加，人员经费增加。</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1441.93</w:t>
      </w:r>
      <w:r>
        <w:rPr>
          <w:rFonts w:hint="eastAsia" w:ascii="仿宋_GB2312" w:hAnsi="仿宋_GB2312" w:eastAsia="仿宋_GB2312" w:cs="仿宋_GB2312"/>
          <w:sz w:val="32"/>
          <w:szCs w:val="32"/>
        </w:rPr>
        <w:t>万元，其中：财政拨款收入1436.7万元，占</w:t>
      </w:r>
      <w:r>
        <w:rPr>
          <w:rFonts w:hint="eastAsia" w:ascii="仿宋_GB2312" w:hAnsi="仿宋_GB2312" w:eastAsia="仿宋_GB2312" w:cs="仿宋_GB2312"/>
          <w:sz w:val="32"/>
          <w:szCs w:val="32"/>
          <w:lang w:val="en-US" w:eastAsia="zh-CN"/>
        </w:rPr>
        <w:t>99.64</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%；其他收入5.23万元，占</w:t>
      </w:r>
      <w:r>
        <w:rPr>
          <w:rFonts w:hint="eastAsia" w:ascii="仿宋_GB2312" w:hAnsi="仿宋_GB2312" w:eastAsia="仿宋_GB2312" w:cs="仿宋_GB2312"/>
          <w:sz w:val="32"/>
          <w:szCs w:val="32"/>
          <w:lang w:val="en-US" w:eastAsia="zh-CN"/>
        </w:rPr>
        <w:t>0.36</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1441.94</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1030.66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71.48</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411.28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28.52</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widowControl w:val="0"/>
        <w:autoSpaceDE w:val="0"/>
        <w:autoSpaceDN w:val="0"/>
        <w:adjustRightInd w:val="0"/>
        <w:ind w:firstLine="640" w:firstLineChars="200"/>
        <w:rPr>
          <w:rFonts w:hint="eastAsia" w:ascii="楷体" w:hAnsi="楷体" w:eastAsia="楷体" w:cs="楷体"/>
          <w:i/>
          <w:iCs/>
          <w:color w:val="000000"/>
          <w:kern w:val="0"/>
          <w:sz w:val="32"/>
          <w:szCs w:val="32"/>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1436.70</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83.86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6.20</w:t>
      </w:r>
      <w:r>
        <w:rPr>
          <w:rFonts w:hint="eastAsia" w:ascii="仿宋_GB2312" w:hAnsi="仿宋_GB2312" w:eastAsia="仿宋_GB2312" w:cs="仿宋_GB2312"/>
          <w:sz w:val="32"/>
          <w:szCs w:val="32"/>
        </w:rPr>
        <w:t>%，主要是因为公务员招录及四海揽才人员增加，人员经费增加</w:t>
      </w:r>
      <w:r>
        <w:rPr>
          <w:rFonts w:hint="eastAsia" w:ascii="仿宋_GB2312" w:hAnsi="仿宋_GB2312" w:eastAsia="仿宋_GB2312" w:cs="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widowControl w:val="0"/>
        <w:autoSpaceDE w:val="0"/>
        <w:autoSpaceDN w:val="0"/>
        <w:adjustRightInd w:val="0"/>
        <w:ind w:firstLine="640" w:firstLineChars="200"/>
        <w:rPr>
          <w:rFonts w:hint="eastAsia" w:ascii="仿宋_GB2312" w:hAnsi="仿宋_GB2312" w:eastAsia="仿宋_GB2312" w:cs="仿宋_GB2312"/>
          <w:i/>
          <w:iCs/>
          <w:color w:val="FF0000"/>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1436.70</w:t>
      </w:r>
      <w:r>
        <w:rPr>
          <w:rFonts w:hint="eastAsia" w:ascii="仿宋_GB2312" w:hAnsi="仿宋_GB2312" w:eastAsia="仿宋_GB2312" w:cs="仿宋_GB2312"/>
          <w:sz w:val="32"/>
          <w:szCs w:val="32"/>
        </w:rPr>
        <w:t>元，占本年支出合计的</w:t>
      </w:r>
      <w:r>
        <w:rPr>
          <w:rFonts w:hint="eastAsia" w:ascii="仿宋_GB2312" w:hAnsi="仿宋_GB2312" w:eastAsia="仿宋_GB2312" w:cs="仿宋_GB2312"/>
          <w:sz w:val="32"/>
          <w:szCs w:val="32"/>
          <w:lang w:val="en-US" w:eastAsia="zh-CN"/>
        </w:rPr>
        <w:t>99.64</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83.86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6.20</w:t>
      </w:r>
      <w:r>
        <w:rPr>
          <w:rFonts w:hint="eastAsia" w:ascii="仿宋_GB2312" w:hAnsi="仿宋_GB2312" w:eastAsia="仿宋_GB2312" w:cs="仿宋_GB2312"/>
          <w:sz w:val="32"/>
          <w:szCs w:val="32"/>
        </w:rPr>
        <w:t>%，主要是主要是因为公务员招录及四海揽才人员增加，人员经费增加</w:t>
      </w:r>
      <w:r>
        <w:rPr>
          <w:rFonts w:hint="eastAsia" w:ascii="仿宋_GB2312" w:hAnsi="仿宋_GB2312" w:eastAsia="仿宋_GB2312" w:cs="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default" w:ascii="仿宋_GB2312" w:hAnsi="仿宋_GB2312" w:eastAsia="仿宋_GB2312" w:cs="仿宋_GB2312"/>
          <w:sz w:val="32"/>
          <w:szCs w:val="32"/>
          <w:lang w:val="en"/>
        </w:rPr>
        <w:t>1436.7</w:t>
      </w:r>
      <w:r>
        <w:rPr>
          <w:rFonts w:hint="eastAsia" w:ascii="仿宋_GB2312" w:hAnsi="仿宋_GB2312" w:eastAsia="仿宋_GB2312" w:cs="仿宋_GB2312"/>
          <w:sz w:val="32"/>
          <w:szCs w:val="32"/>
        </w:rPr>
        <w:t>万元，主要用于以下方面：一般公共服务（类）支出</w:t>
      </w:r>
      <w:r>
        <w:rPr>
          <w:rFonts w:hint="default" w:ascii="仿宋_GB2312" w:hAnsi="仿宋_GB2312" w:eastAsia="仿宋_GB2312" w:cs="仿宋_GB2312"/>
          <w:sz w:val="32"/>
          <w:szCs w:val="32"/>
          <w:lang w:val="en"/>
        </w:rPr>
        <w:t>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科学技术</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1250.31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87.03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文化旅游体育与传媒</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16.02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社会保障和就业</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71.61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4.98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46.68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住房保障</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50.09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3.49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年度财政拨款支出年初预算数为914.39万元，支出决算数为</w:t>
      </w:r>
      <w:r>
        <w:rPr>
          <w:rFonts w:hint="default" w:ascii="仿宋_GB2312" w:hAnsi="仿宋_GB2312" w:eastAsia="仿宋_GB2312" w:cs="仿宋_GB2312"/>
          <w:sz w:val="32"/>
          <w:szCs w:val="32"/>
          <w:lang w:val="en"/>
        </w:rPr>
        <w:t>1436.7</w:t>
      </w:r>
      <w:r>
        <w:rPr>
          <w:rFonts w:hint="eastAsia" w:ascii="仿宋_GB2312" w:hAnsi="仿宋_GB2312" w:eastAsia="仿宋_GB2312" w:cs="仿宋_GB2312"/>
          <w:sz w:val="32"/>
          <w:szCs w:val="32"/>
        </w:rPr>
        <w:t>万元，完成年初预算的</w:t>
      </w:r>
      <w:r>
        <w:rPr>
          <w:rFonts w:hint="default" w:ascii="仿宋_GB2312" w:hAnsi="仿宋_GB2312" w:eastAsia="仿宋_GB2312" w:cs="仿宋_GB2312"/>
          <w:sz w:val="32"/>
          <w:szCs w:val="32"/>
          <w:lang w:val="en"/>
        </w:rPr>
        <w:t>157.12</w:t>
      </w:r>
      <w:r>
        <w:rPr>
          <w:rFonts w:hint="eastAsia" w:ascii="仿宋_GB2312" w:hAnsi="仿宋_GB2312" w:eastAsia="仿宋_GB2312" w:cs="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1、一般公共服务（类）</w:t>
      </w:r>
      <w:r>
        <w:rPr>
          <w:rFonts w:hint="eastAsia" w:ascii="仿宋_GB2312" w:hAnsi="仿宋_GB2312" w:eastAsia="仿宋_GB2312" w:cs="仿宋_GB2312"/>
          <w:sz w:val="32"/>
          <w:szCs w:val="32"/>
          <w:lang w:eastAsia="zh-CN"/>
        </w:rPr>
        <w:t>发展与改革事务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其他发展与改革事务</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万元，决算数大于年初预算数的主要原因是：</w:t>
      </w:r>
      <w:r>
        <w:rPr>
          <w:rFonts w:hint="eastAsia" w:ascii="Times New Roman" w:hAnsi="Times New Roman" w:eastAsia="仿宋_GB2312"/>
          <w:sz w:val="32"/>
          <w:szCs w:val="32"/>
          <w:lang w:eastAsia="zh-CN"/>
        </w:rPr>
        <w:t>部门</w:t>
      </w:r>
      <w:r>
        <w:rPr>
          <w:rFonts w:hint="eastAsia" w:ascii="Times New Roman" w:hAnsi="Times New Roman" w:eastAsia="仿宋_GB2312"/>
          <w:sz w:val="32"/>
          <w:szCs w:val="32"/>
        </w:rPr>
        <w:t>临时承担的工作经费没有纳入年初预算。</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科学技术</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科学技术管理事务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行政运行</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747.27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816.33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109.24</w:t>
      </w:r>
      <w:r>
        <w:rPr>
          <w:rFonts w:hint="eastAsia" w:ascii="仿宋_GB2312" w:hAnsi="仿宋_GB2312" w:eastAsia="仿宋_GB2312" w:cs="仿宋_GB2312"/>
          <w:sz w:val="32"/>
          <w:szCs w:val="32"/>
        </w:rPr>
        <w:t>%，决算数大于年初预算数的主要原因是：</w:t>
      </w:r>
      <w:r>
        <w:rPr>
          <w:rFonts w:hint="eastAsia" w:ascii="Times New Roman" w:hAnsi="Times New Roman" w:eastAsia="仿宋_GB2312"/>
          <w:sz w:val="32"/>
          <w:szCs w:val="32"/>
          <w:lang w:eastAsia="zh-CN"/>
        </w:rPr>
        <w:t>人员新增，年末人员经费补差；上年项目结余结转以及临时承办的工作经费。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科学技术</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科学技术管理事务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一般行政管理事务</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14.48</w:t>
      </w:r>
      <w:r>
        <w:rPr>
          <w:rFonts w:hint="eastAsia" w:ascii="仿宋_GB2312" w:hAnsi="仿宋_GB2312" w:eastAsia="仿宋_GB2312" w:cs="仿宋_GB2312"/>
          <w:sz w:val="32"/>
          <w:szCs w:val="32"/>
        </w:rPr>
        <w:t>万元，决算数大于年初预算数的主要原因是：</w:t>
      </w:r>
      <w:r>
        <w:rPr>
          <w:rFonts w:hint="eastAsia" w:ascii="Times New Roman" w:hAnsi="Times New Roman" w:eastAsia="仿宋_GB2312"/>
          <w:sz w:val="32"/>
          <w:szCs w:val="32"/>
          <w:lang w:eastAsia="zh-CN"/>
        </w:rPr>
        <w:t>部门</w:t>
      </w:r>
      <w:r>
        <w:rPr>
          <w:rFonts w:hint="eastAsia" w:ascii="Times New Roman" w:hAnsi="Times New Roman" w:eastAsia="仿宋_GB2312"/>
          <w:sz w:val="32"/>
          <w:szCs w:val="32"/>
        </w:rPr>
        <w:t>临时承担的工作经费没有纳入年初预算。</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科学技术</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科学技术管理事务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其他科学技术管理事务</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1.79</w:t>
      </w:r>
      <w:r>
        <w:rPr>
          <w:rFonts w:hint="eastAsia" w:ascii="仿宋_GB2312" w:hAnsi="仿宋_GB2312" w:eastAsia="仿宋_GB2312" w:cs="仿宋_GB2312"/>
          <w:sz w:val="32"/>
          <w:szCs w:val="32"/>
        </w:rPr>
        <w:t>万元，决算数大于年初预算数的主要原因是：</w:t>
      </w:r>
      <w:r>
        <w:rPr>
          <w:rFonts w:hint="eastAsia" w:ascii="Times New Roman" w:hAnsi="Times New Roman" w:eastAsia="仿宋_GB2312"/>
          <w:sz w:val="32"/>
          <w:szCs w:val="32"/>
          <w:lang w:eastAsia="zh-CN"/>
        </w:rPr>
        <w:t>部门</w:t>
      </w:r>
      <w:r>
        <w:rPr>
          <w:rFonts w:hint="eastAsia" w:ascii="Times New Roman" w:hAnsi="Times New Roman" w:eastAsia="仿宋_GB2312"/>
          <w:sz w:val="32"/>
          <w:szCs w:val="32"/>
        </w:rPr>
        <w:t>临时承担的工作经费没有纳入年初预算。</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科学技术</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基础研究</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自然科学基金</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万元，决算数大于（小于）年初预算数的主要原因是：</w:t>
      </w:r>
      <w:r>
        <w:rPr>
          <w:rFonts w:hint="eastAsia" w:ascii="Times New Roman" w:hAnsi="Times New Roman" w:eastAsia="仿宋_GB2312"/>
          <w:sz w:val="32"/>
          <w:szCs w:val="32"/>
          <w:lang w:eastAsia="zh-CN"/>
        </w:rPr>
        <w:t>科技创新专项资金为市统一代编预算，其中</w:t>
      </w:r>
      <w:r>
        <w:rPr>
          <w:rFonts w:hint="eastAsia" w:ascii="仿宋_GB2312" w:hAnsi="仿宋_GB2312" w:eastAsia="仿宋_GB2312" w:cs="仿宋_GB2312"/>
          <w:sz w:val="32"/>
          <w:szCs w:val="32"/>
          <w:lang w:eastAsia="zh-CN"/>
        </w:rPr>
        <w:t>自然科学基金专项</w:t>
      </w:r>
      <w:r>
        <w:rPr>
          <w:rFonts w:hint="eastAsia" w:ascii="Times New Roman" w:hAnsi="Times New Roman" w:eastAsia="仿宋_GB2312"/>
          <w:sz w:val="32"/>
          <w:szCs w:val="32"/>
          <w:lang w:eastAsia="zh-CN"/>
        </w:rPr>
        <w:t>经我部门拨付，未在年初部门预算体现。</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科学技术</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技术研究与开发</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科技成果转化与扩散</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10.25</w:t>
      </w:r>
      <w:r>
        <w:rPr>
          <w:rFonts w:hint="eastAsia" w:ascii="仿宋_GB2312" w:hAnsi="仿宋_GB2312" w:eastAsia="仿宋_GB2312" w:cs="仿宋_GB2312"/>
          <w:sz w:val="32"/>
          <w:szCs w:val="32"/>
        </w:rPr>
        <w:t>万元，决算数大于（小于）年初预算数的主要原因是：</w:t>
      </w:r>
      <w:r>
        <w:rPr>
          <w:rFonts w:hint="eastAsia" w:ascii="Times New Roman" w:hAnsi="Times New Roman" w:eastAsia="仿宋_GB2312"/>
          <w:sz w:val="32"/>
          <w:szCs w:val="32"/>
          <w:lang w:eastAsia="zh-CN"/>
        </w:rPr>
        <w:t>部门</w:t>
      </w:r>
      <w:r>
        <w:rPr>
          <w:rFonts w:hint="eastAsia" w:ascii="Times New Roman" w:hAnsi="Times New Roman" w:eastAsia="仿宋_GB2312"/>
          <w:sz w:val="32"/>
          <w:szCs w:val="32"/>
        </w:rPr>
        <w:t>临时承担的工作经费没有纳入年初预算。</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科学技术</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科技条件与服务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其他科技条件与服务</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lang w:val="en" w:eastAsia="zh-CN"/>
        </w:rPr>
        <w:t>主要原因是实际执行与年初预算一致。</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科学技术</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科技交流与合作</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其他科技交流与合作</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14.86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297.2</w:t>
      </w:r>
      <w:r>
        <w:rPr>
          <w:rFonts w:hint="eastAsia" w:ascii="仿宋_GB2312" w:hAnsi="仿宋_GB2312" w:eastAsia="仿宋_GB2312" w:cs="仿宋_GB2312"/>
          <w:sz w:val="32"/>
          <w:szCs w:val="32"/>
        </w:rPr>
        <w:t>%，决算数大于年初预算数的主要原因是：</w:t>
      </w:r>
      <w:r>
        <w:rPr>
          <w:rFonts w:hint="eastAsia" w:ascii="Times New Roman" w:hAnsi="Times New Roman" w:eastAsia="仿宋_GB2312"/>
          <w:sz w:val="32"/>
          <w:szCs w:val="32"/>
          <w:lang w:eastAsia="zh-CN"/>
        </w:rPr>
        <w:t>部门</w:t>
      </w:r>
      <w:r>
        <w:rPr>
          <w:rFonts w:hint="eastAsia" w:ascii="Times New Roman" w:hAnsi="Times New Roman" w:eastAsia="仿宋_GB2312"/>
          <w:sz w:val="32"/>
          <w:szCs w:val="32"/>
        </w:rPr>
        <w:t>临时承担的工作经费没有纳入年初预算。</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科学技术</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其他科学技术</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其他科学技术</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342.60</w:t>
      </w:r>
      <w:r>
        <w:rPr>
          <w:rFonts w:hint="eastAsia" w:ascii="仿宋_GB2312" w:hAnsi="仿宋_GB2312" w:eastAsia="仿宋_GB2312" w:cs="仿宋_GB2312"/>
          <w:sz w:val="32"/>
          <w:szCs w:val="32"/>
        </w:rPr>
        <w:t>万元，决算数大于年初预算数的主要原因是：</w:t>
      </w:r>
      <w:r>
        <w:rPr>
          <w:rFonts w:hint="eastAsia" w:ascii="Times New Roman" w:hAnsi="Times New Roman" w:eastAsia="仿宋_GB2312"/>
          <w:sz w:val="32"/>
          <w:szCs w:val="32"/>
          <w:lang w:eastAsia="zh-CN"/>
        </w:rPr>
        <w:t>科技创新专项资金为市统一代编预算，其中</w:t>
      </w:r>
      <w:r>
        <w:rPr>
          <w:rFonts w:hint="eastAsia" w:ascii="仿宋_GB2312" w:hAnsi="仿宋_GB2312" w:eastAsia="仿宋_GB2312" w:cs="仿宋_GB2312"/>
          <w:sz w:val="32"/>
          <w:szCs w:val="32"/>
          <w:lang w:eastAsia="zh-CN"/>
        </w:rPr>
        <w:t>自然科学基金专项</w:t>
      </w:r>
      <w:r>
        <w:rPr>
          <w:rFonts w:hint="eastAsia" w:ascii="Times New Roman" w:hAnsi="Times New Roman" w:eastAsia="仿宋_GB2312"/>
          <w:sz w:val="32"/>
          <w:szCs w:val="32"/>
          <w:lang w:eastAsia="zh-CN"/>
        </w:rPr>
        <w:t>经我部门拨付，未在年初部门预算体现。</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文化旅游体育与传媒</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文化和旅游</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一般行政管理事务</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16.02</w:t>
      </w:r>
      <w:r>
        <w:rPr>
          <w:rFonts w:hint="eastAsia" w:ascii="仿宋_GB2312" w:hAnsi="仿宋_GB2312" w:eastAsia="仿宋_GB2312" w:cs="仿宋_GB2312"/>
          <w:sz w:val="32"/>
          <w:szCs w:val="32"/>
        </w:rPr>
        <w:t>万元，决算数大于（小于）年初预算数的主要原因是：</w:t>
      </w:r>
      <w:r>
        <w:rPr>
          <w:rFonts w:hint="eastAsia" w:ascii="Times New Roman" w:hAnsi="Times New Roman" w:eastAsia="仿宋_GB2312"/>
          <w:sz w:val="32"/>
          <w:szCs w:val="32"/>
          <w:lang w:eastAsia="zh-CN"/>
        </w:rPr>
        <w:t>部门</w:t>
      </w:r>
      <w:r>
        <w:rPr>
          <w:rFonts w:hint="eastAsia" w:ascii="Times New Roman" w:hAnsi="Times New Roman" w:eastAsia="仿宋_GB2312"/>
          <w:sz w:val="32"/>
          <w:szCs w:val="32"/>
        </w:rPr>
        <w:t>临时承担的工作经费没有纳入年初预算。</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社会保障和就业</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行政事业单位养老</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机关事业单位基本养老保险缴费</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51.3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51.30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sz w:val="32"/>
          <w:szCs w:val="32"/>
          <w:lang w:val="en" w:eastAsia="zh-CN"/>
        </w:rPr>
        <w:t>主要原因是实际执行与年初预算一致。</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社会保障和就业</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抚恤</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其他优抚</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17.18</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eastAsia="zh-CN"/>
        </w:rPr>
        <w:t>退休干部去世抚恤金为当年财政直接下达，未在年初部门预算中体现。</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社会保障和就业</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其他社会保障和就业</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其他社会保障和就业</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0.53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3.13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529.57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eastAsia="zh-CN"/>
        </w:rPr>
        <w:t>年末人员经费补差，未在</w:t>
      </w:r>
      <w:r>
        <w:rPr>
          <w:rFonts w:hint="eastAsia" w:ascii="仿宋_GB2312" w:hAnsi="仿宋_GB2312" w:eastAsia="仿宋_GB2312" w:cs="仿宋_GB2312"/>
          <w:sz w:val="32"/>
          <w:szCs w:val="32"/>
          <w:lang w:eastAsia="zh-CN"/>
        </w:rPr>
        <w:t>年初部门预算中体现。</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行政单位医疗</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37.66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37.66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lang w:val="en" w:eastAsia="zh-CN"/>
        </w:rPr>
        <w:t>主要原因是实际执行与年初预算一致。</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事业单位医疗</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9.02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9.02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lang w:val="en" w:eastAsia="zh-CN"/>
        </w:rPr>
        <w:t>主要原因是实际执行与年初预算一致。</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住房保障</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住房改革</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住房公积金</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50.09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50.09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lang w:val="en" w:eastAsia="zh-CN"/>
        </w:rPr>
        <w:t>主要原因是实际执行与年初预算一致。</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1025.41</w:t>
      </w:r>
      <w:r>
        <w:rPr>
          <w:rFonts w:hint="eastAsia" w:ascii="仿宋_GB2312" w:hAnsi="仿宋_GB2312" w:eastAsia="仿宋_GB2312" w:cs="仿宋_GB2312"/>
          <w:sz w:val="32"/>
          <w:szCs w:val="32"/>
        </w:rPr>
        <w:t>万元，其中：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922.09</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89.92</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eastAsia="zh-CN"/>
        </w:rPr>
        <w:t>、绩效工资、机关事业单位基本养老保险缴费、退休费。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103.32</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10.08</w:t>
      </w:r>
      <w:r>
        <w:rPr>
          <w:rFonts w:hint="eastAsia" w:ascii="仿宋_GB2312" w:hAnsi="仿宋_GB2312" w:eastAsia="仿宋_GB2312" w:cs="仿宋_GB2312"/>
          <w:sz w:val="32"/>
          <w:szCs w:val="32"/>
        </w:rPr>
        <w:t>%，主要包括办公费、印刷费、</w:t>
      </w:r>
      <w:r>
        <w:rPr>
          <w:rFonts w:hint="eastAsia" w:ascii="仿宋_GB2312" w:hAnsi="仿宋_GB2312" w:eastAsia="仿宋_GB2312" w:cs="仿宋_GB2312"/>
          <w:sz w:val="32"/>
          <w:szCs w:val="32"/>
          <w:lang w:eastAsia="zh-CN"/>
        </w:rPr>
        <w:t>水费、电</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eastAsia="zh-CN"/>
        </w:rPr>
        <w:t>差旅</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eastAsia="zh-CN"/>
        </w:rPr>
        <w:t>、工会经费、其他交通费用。</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pStyle w:val="12"/>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color w:val="auto"/>
          <w:kern w:val="2"/>
          <w:sz w:val="32"/>
          <w:szCs w:val="32"/>
          <w:lang w:val="en-US" w:eastAsia="zh-CN" w:bidi="ar-SA"/>
        </w:rPr>
        <w:t>2023年度政府性基金预算财政拨款收入0万元；年初结转和结余0万元；支出0万元，其中基本支出0万元，项目支出0万元；年末结转和结余0万元。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2023年度国有资本经营预算财政拨款收入0万元；年初结转和结余0万；支出0万元，其中：基本支出0万元，项目支出0万元；年末结转和结余0万元。</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4.66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51.78</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eastAsia="zh-CN"/>
        </w:rPr>
        <w:t>落实过紧日子要求，厉行节约，</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14.65</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落实过紧日子要求，厉行节约</w:t>
      </w:r>
      <w:r>
        <w:rPr>
          <w:rFonts w:hint="eastAsia" w:ascii="仿宋_GB2312" w:hAnsi="仿宋_GB2312" w:eastAsia="仿宋_GB2312" w:cs="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严格按预算执行；</w:t>
      </w:r>
      <w:r>
        <w:rPr>
          <w:rFonts w:hint="eastAsia" w:ascii="仿宋_GB2312" w:hAnsi="仿宋_GB2312" w:eastAsia="仿宋_GB2312" w:cs="仿宋_GB2312"/>
          <w:sz w:val="32"/>
          <w:szCs w:val="32"/>
        </w:rPr>
        <w:t>与上年</w:t>
      </w:r>
      <w:r>
        <w:rPr>
          <w:rFonts w:hint="eastAsia" w:ascii="仿宋_GB2312" w:hAnsi="仿宋_GB2312" w:eastAsia="仿宋_GB2312" w:cs="仿宋_GB2312"/>
          <w:sz w:val="32"/>
          <w:szCs w:val="32"/>
          <w:lang w:eastAsia="zh-CN"/>
        </w:rPr>
        <w:t>一致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无增减变动，</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本部门未安排无</w:t>
      </w:r>
      <w:r>
        <w:rPr>
          <w:rFonts w:hint="eastAsia" w:ascii="仿宋_GB2312" w:hAnsi="仿宋_GB2312" w:eastAsia="仿宋_GB2312" w:cs="仿宋_GB2312"/>
          <w:sz w:val="32"/>
          <w:szCs w:val="32"/>
        </w:rPr>
        <w:t>因公出国（境）</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1.96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32.67</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eastAsia="zh-CN"/>
        </w:rPr>
        <w:t>落实过紧日子要求，厉行节约；</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0.81</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29.24</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落实过紧日子要求，严控三公经费支出</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严格按预算执行；</w:t>
      </w:r>
      <w:r>
        <w:rPr>
          <w:rFonts w:hint="eastAsia" w:ascii="仿宋_GB2312" w:hAnsi="仿宋_GB2312" w:eastAsia="仿宋_GB2312" w:cs="仿宋_GB2312"/>
          <w:sz w:val="32"/>
          <w:szCs w:val="32"/>
        </w:rPr>
        <w:t>与上年</w:t>
      </w:r>
      <w:r>
        <w:rPr>
          <w:rFonts w:hint="eastAsia" w:ascii="仿宋_GB2312" w:hAnsi="仿宋_GB2312" w:eastAsia="仿宋_GB2312" w:cs="仿宋_GB2312"/>
          <w:sz w:val="32"/>
          <w:szCs w:val="32"/>
          <w:lang w:eastAsia="zh-CN"/>
        </w:rPr>
        <w:t>一致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无增减变动，</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两年均未购置公务用车</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eastAsia="zh-CN"/>
        </w:rPr>
        <w:t>落实过紧日子要求，厉行节约；</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0.01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0.37</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eastAsia="zh-CN"/>
        </w:rPr>
        <w:t>公务用车使用年限增加，车辆维护费增加</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1.96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42.06</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万元，公务用车购置费及运行维护费支出决算</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57.94</w:t>
      </w:r>
      <w:r>
        <w:rPr>
          <w:rFonts w:hint="eastAsia" w:ascii="仿宋_GB2312" w:hAnsi="仿宋_GB2312" w:eastAsia="仿宋_GB2312" w:cs="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因公出国（境）费支出决算为0万元，全年安排因公出国（境）团组0个，累计0人次，我单位2023年度无因公出国（境）费支出。</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1.96</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人次，主要是</w:t>
      </w:r>
      <w:r>
        <w:rPr>
          <w:rFonts w:hint="eastAsia" w:ascii="仿宋_GB2312" w:hAnsi="仿宋_GB2312" w:eastAsia="仿宋_GB2312" w:cs="仿宋_GB2312"/>
          <w:sz w:val="32"/>
          <w:szCs w:val="32"/>
          <w:lang w:eastAsia="zh-CN"/>
        </w:rPr>
        <w:t>科技创新指标对接、市外领导来岳调研、县市区汇报科技创新工作</w:t>
      </w:r>
      <w:r>
        <w:rPr>
          <w:rFonts w:hint="eastAsia" w:ascii="仿宋_GB2312" w:hAnsi="仿宋_GB2312" w:eastAsia="仿宋_GB2312" w:cs="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万元，当年没有购置公务用车</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公务用车保险费、维护费、油费、高速公路过路费</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开支财政拨款的公务用车保有量为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十、关于机关运行经费支出说明</w:t>
      </w:r>
    </w:p>
    <w:p>
      <w:pPr>
        <w:pStyle w:val="12"/>
        <w:ind w:firstLine="640" w:firstLineChars="200"/>
        <w:rPr>
          <w:rFonts w:hint="eastAsia" w:ascii="楷体" w:hAnsi="楷体" w:eastAsia="仿宋_GB2312" w:cs="楷体"/>
          <w:sz w:val="32"/>
          <w:szCs w:val="32"/>
          <w:highlight w:val="none"/>
          <w:lang w:eastAsia="zh-CN"/>
        </w:rPr>
      </w:pPr>
      <w:r>
        <w:rPr>
          <w:rFonts w:hint="eastAsia" w:ascii="仿宋_GB2312" w:hAnsi="仿宋_GB2312" w:eastAsia="仿宋_GB2312" w:cs="仿宋_GB2312"/>
          <w:sz w:val="32"/>
          <w:szCs w:val="32"/>
          <w:highlight w:val="none"/>
        </w:rPr>
        <w:t>本部门202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年度机关运行经费支出</w:t>
      </w:r>
      <w:r>
        <w:rPr>
          <w:rFonts w:hint="eastAsia" w:ascii="仿宋_GB2312" w:hAnsi="仿宋_GB2312" w:eastAsia="仿宋_GB2312" w:cs="仿宋_GB2312"/>
          <w:sz w:val="32"/>
          <w:szCs w:val="32"/>
          <w:highlight w:val="none"/>
          <w:lang w:val="en-US" w:eastAsia="zh-CN"/>
        </w:rPr>
        <w:t>103.32</w:t>
      </w:r>
      <w:r>
        <w:rPr>
          <w:rFonts w:hint="eastAsia" w:ascii="仿宋_GB2312" w:hAnsi="仿宋_GB2312" w:eastAsia="仿宋_GB2312" w:cs="仿宋_GB2312"/>
          <w:sz w:val="32"/>
          <w:szCs w:val="32"/>
          <w:highlight w:val="none"/>
        </w:rPr>
        <w:t>万元，比上年决算数增加</w:t>
      </w:r>
      <w:r>
        <w:rPr>
          <w:rFonts w:hint="eastAsia" w:ascii="仿宋_GB2312" w:hAnsi="仿宋_GB2312" w:eastAsia="仿宋_GB2312" w:cs="仿宋_GB2312"/>
          <w:sz w:val="32"/>
          <w:szCs w:val="32"/>
          <w:highlight w:val="none"/>
          <w:lang w:val="en-US" w:eastAsia="zh-CN"/>
        </w:rPr>
        <w:t>15.32</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17.40</w:t>
      </w:r>
      <w:r>
        <w:rPr>
          <w:rFonts w:hint="eastAsia" w:ascii="仿宋_GB2312" w:hAnsi="仿宋_GB2312" w:eastAsia="仿宋_GB2312" w:cs="仿宋_GB2312"/>
          <w:sz w:val="32"/>
          <w:szCs w:val="32"/>
          <w:highlight w:val="none"/>
        </w:rPr>
        <w:t>%。主要原因是：</w:t>
      </w:r>
      <w:r>
        <w:rPr>
          <w:rFonts w:hint="eastAsia" w:ascii="仿宋_GB2312" w:hAnsi="宋体" w:eastAsia="仿宋_GB2312"/>
          <w:sz w:val="32"/>
          <w:szCs w:val="32"/>
          <w:highlight w:val="none"/>
        </w:rPr>
        <w:t>主要因为</w:t>
      </w:r>
      <w:r>
        <w:rPr>
          <w:rFonts w:hint="eastAsia" w:ascii="仿宋_GB2312" w:hAnsi="宋体" w:eastAsia="仿宋_GB2312"/>
          <w:sz w:val="32"/>
          <w:szCs w:val="32"/>
          <w:highlight w:val="none"/>
          <w:lang w:eastAsia="zh-CN"/>
        </w:rPr>
        <w:t>公务员招录和四海揽才人员增加，以及</w:t>
      </w:r>
      <w:r>
        <w:rPr>
          <w:rFonts w:hint="eastAsia" w:ascii="仿宋_GB2312" w:hAnsi="仿宋_GB2312" w:eastAsia="仿宋_GB2312" w:cs="仿宋_GB2312"/>
          <w:sz w:val="32"/>
          <w:szCs w:val="32"/>
          <w:highlight w:val="none"/>
          <w:lang w:eastAsia="zh-CN"/>
        </w:rPr>
        <w:t>科技创新指标攻坚力度加大</w:t>
      </w:r>
      <w:r>
        <w:rPr>
          <w:rFonts w:hint="eastAsia" w:ascii="仿宋_GB2312" w:hAnsi="宋体" w:eastAsia="仿宋_GB2312"/>
          <w:sz w:val="32"/>
          <w:szCs w:val="32"/>
          <w:highlight w:val="none"/>
          <w:lang w:eastAsia="zh-CN"/>
        </w:rPr>
        <w:t>，机关</w:t>
      </w:r>
      <w:r>
        <w:rPr>
          <w:rFonts w:hint="eastAsia" w:ascii="仿宋_GB2312" w:hAnsi="宋体" w:eastAsia="仿宋_GB2312"/>
          <w:sz w:val="32"/>
          <w:szCs w:val="32"/>
          <w:highlight w:val="none"/>
        </w:rPr>
        <w:t>日常运转</w:t>
      </w:r>
      <w:r>
        <w:rPr>
          <w:rFonts w:hint="eastAsia" w:ascii="仿宋_GB2312" w:hAnsi="宋体" w:eastAsia="仿宋_GB2312"/>
          <w:sz w:val="32"/>
          <w:szCs w:val="32"/>
          <w:highlight w:val="none"/>
          <w:lang w:eastAsia="zh-CN"/>
        </w:rPr>
        <w:t>成本</w:t>
      </w:r>
      <w:r>
        <w:rPr>
          <w:rFonts w:hint="eastAsia" w:ascii="仿宋_GB2312" w:hAnsi="宋体" w:eastAsia="仿宋_GB2312"/>
          <w:sz w:val="32"/>
          <w:szCs w:val="32"/>
          <w:highlight w:val="none"/>
        </w:rPr>
        <w:t>增加</w:t>
      </w:r>
      <w:r>
        <w:rPr>
          <w:rFonts w:hint="eastAsia" w:ascii="仿宋_GB2312" w:hAnsi="宋体" w:eastAsia="仿宋_GB2312"/>
          <w:sz w:val="32"/>
          <w:szCs w:val="32"/>
          <w:highlight w:val="none"/>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2"/>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w:t>
      </w:r>
      <w:bookmarkStart w:id="0" w:name="_GoBack"/>
      <w:bookmarkEnd w:id="0"/>
      <w:r>
        <w:rPr>
          <w:rFonts w:hint="eastAsia" w:ascii="仿宋_GB2312" w:hAnsi="仿宋_GB2312" w:eastAsia="仿宋_GB2312" w:cs="仿宋_GB2312"/>
          <w:sz w:val="32"/>
          <w:szCs w:val="32"/>
          <w:lang w:val="en-US" w:eastAsia="zh-CN"/>
        </w:rPr>
        <w:t>算2万元，支出决算为2万元，完成年初预算的100%。用于召开全市科技创新大会，</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eastAsia="zh-CN"/>
        </w:rPr>
        <w:t>全市科技创新大会。</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培训费年初预算0.20万元，支出决算为0.35万元，完成年初预算的175%。用于开展全社会研发投入指标培训，人数65人，内容为指导县市区科技局业务人员开展全社会研发投入指标统计工作。</w:t>
      </w:r>
    </w:p>
    <w:p>
      <w:pPr>
        <w:widowControl w:val="0"/>
        <w:autoSpaceDE w:val="0"/>
        <w:autoSpaceDN w:val="0"/>
        <w:adjustRightInd w:val="0"/>
        <w:ind w:firstLine="640" w:firstLineChars="200"/>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本单位无举办节庆、晚会、论坛、赛事等活动的预算和支出决算数。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247.16</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62.64</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2.93</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181.59</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220.64</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89.27</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158.96</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72.04</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92.7</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74.31</w:t>
      </w:r>
      <w:r>
        <w:rPr>
          <w:rFonts w:hint="eastAsia" w:ascii="仿宋_GB2312" w:hAnsi="仿宋_GB2312" w:eastAsia="仿宋_GB2312" w:cs="仿宋_GB2312"/>
          <w:color w:val="auto"/>
          <w:sz w:val="32"/>
          <w:szCs w:val="32"/>
        </w:rPr>
        <w:t>%。</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截至2023年12月31日，本单位共有车辆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辆，其中，副部（省）级及以上领导用车0辆、主要负责人用车0辆、机要通信用车0辆、应急保障用车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辆、执法执勤用车0辆、特种专业技术用车0辆、离退休干部服务用车0辆、其他用车0辆；单位价值100万元以上设备（不含车辆）0台（套）。</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1436.7万元，政府性基金预算支出0万元，国有资本经营预算支出0万元。从评价情况来看，整体支出绩效评价中，2023年整体支出1441.94万元，其中：基本支出1025.42万元，项目支出411.28万元，本单位整体支出绩效自评综合评分99.67分，评价结果等次为优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4个，共涉及资金30万元，占一般公共预算项目支出总额的7.29%。组织对政府性基金预算项目支出开展绩效自评，项目0个，共涉及资金0万元（由于政府性基金预算项目支出总额为0，故无法计算占政府性基金预算项目支出总额的比重）。组织对国有资本经营预算项目支出开展绩效自评，项目0个，共涉及资金0万元，（由于国有资本经营预算项目支出总额为0，故无法计算占国有资本经营预算项目支出总额的比重）。从评价情况来看，项目绩效自评得分100分，评价结果等次为优秀。</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部门整体支出绩效情况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根据年初设定的绩效目标，绩效自评得分为99.67分。全年预算数为1157.5 万元，执行数为1119.56万元，完成预算的96.72%。绩效目标完成情况：一是科技创新攻坚不断加力。迅速组建专班，抓好统筹调度，突出宣传引导；二是科技创新能力不断提升。创新主体实现新增长，投入产出实现新提升，技术攻关实现新突破。三是科技创新平台不断壮大。积极融入省四大实验室，着力推进国省平台创建，加快建设岳阳国家农高区。</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color w:val="auto"/>
          <w:sz w:val="32"/>
          <w:szCs w:val="32"/>
          <w:lang w:eastAsia="zh-CN"/>
        </w:rPr>
        <w:t>存在的</w:t>
      </w:r>
      <w:r>
        <w:rPr>
          <w:rFonts w:hint="eastAsia" w:ascii="仿宋_GB2312" w:hAnsi="仿宋_GB2312" w:eastAsia="仿宋_GB2312" w:cs="仿宋_GB2312"/>
          <w:b w:val="0"/>
          <w:bCs w:val="0"/>
          <w:color w:val="000000"/>
          <w:kern w:val="0"/>
          <w:sz w:val="32"/>
          <w:szCs w:val="32"/>
          <w:lang w:val="en-US" w:eastAsia="zh-CN" w:bidi="ar-SA"/>
        </w:rPr>
        <w:t>主要问题及原因：一是预算绩效管理工作稍显薄弱；二是人员专业素养有待进一步提高。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SA"/>
        </w:rPr>
        <w:t>下一步改进措施：一是细化预算编制工作，进一步加强预算管理意识，严格按照预算编制的相关制度和要求，公用经费根据单位的年度工作重点和项目专项工作规划，本着“勤俭节约、保障运转”的原则进行预算的编制。在预算编制时首先需满足固定性的、相对刚性的费用支出项目，尽量压缩变动性的、有控制空间的费用项目，进一步提高预算编制的科学性、合理性、严谨性和可控性；二是积极对接项目资金，对财政资金下达时间滞后的项目，加强与财政部门的沟通联系，尽早取得资金的拨付，保障项目资金的投入进度，发挥资金的使用效益；三是加强人员业务素质的提高，采取集中学习、讲座、专题会议等方式，进一步统一认识，充实业务知识，提高预算绩效管理方面的理论、实务和具体操作水平，真正掌握预算绩效管理方法和操作规范，解决想干而不会干、任务完成质量不好、工作效率不高的问题，避免盲目工作、被动工作等现象；四是不断提高机关管理水平，优化公用经费支出，提高经费使用效益，确保机关高效运行。</w:t>
      </w: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pStyle w:val="12"/>
        <w:jc w:val="both"/>
        <w:rPr>
          <w:sz w:val="72"/>
          <w:szCs w:val="72"/>
        </w:rPr>
      </w:pPr>
    </w:p>
    <w:p>
      <w:pPr>
        <w:pStyle w:val="12"/>
        <w:jc w:val="both"/>
        <w:rPr>
          <w:sz w:val="72"/>
          <w:szCs w:val="72"/>
        </w:rPr>
      </w:pPr>
    </w:p>
    <w:p>
      <w:pPr>
        <w:pStyle w:val="12"/>
        <w:jc w:val="both"/>
        <w:rPr>
          <w:sz w:val="72"/>
          <w:szCs w:val="72"/>
        </w:rPr>
      </w:pPr>
    </w:p>
    <w:p>
      <w:pPr>
        <w:pStyle w:val="12"/>
        <w:jc w:val="both"/>
        <w:rPr>
          <w:sz w:val="72"/>
          <w:szCs w:val="72"/>
        </w:rPr>
      </w:pPr>
    </w:p>
    <w:p>
      <w:pPr>
        <w:pStyle w:val="12"/>
        <w:jc w:val="both"/>
        <w:rPr>
          <w:sz w:val="72"/>
          <w:szCs w:val="72"/>
        </w:rPr>
      </w:pPr>
    </w:p>
    <w:p>
      <w:pPr>
        <w:pStyle w:val="12"/>
        <w:jc w:val="both"/>
        <w:rPr>
          <w:sz w:val="72"/>
          <w:szCs w:val="72"/>
        </w:rPr>
      </w:pPr>
    </w:p>
    <w:p>
      <w:pPr>
        <w:pStyle w:val="12"/>
        <w:jc w:val="both"/>
        <w:rPr>
          <w:sz w:val="72"/>
          <w:szCs w:val="72"/>
        </w:rPr>
      </w:pPr>
    </w:p>
    <w:p>
      <w:pPr>
        <w:pStyle w:val="12"/>
        <w:jc w:val="both"/>
        <w:rPr>
          <w:sz w:val="72"/>
          <w:szCs w:val="72"/>
        </w:rPr>
      </w:pPr>
    </w:p>
    <w:p>
      <w:pPr>
        <w:pStyle w:val="12"/>
        <w:jc w:val="both"/>
        <w:rPr>
          <w:sz w:val="72"/>
          <w:szCs w:val="72"/>
        </w:rPr>
      </w:pPr>
    </w:p>
    <w:p>
      <w:pPr>
        <w:pStyle w:val="12"/>
        <w:jc w:val="both"/>
        <w:rPr>
          <w:sz w:val="72"/>
          <w:szCs w:val="72"/>
        </w:rPr>
      </w:pPr>
    </w:p>
    <w:p>
      <w:pPr>
        <w:pStyle w:val="12"/>
        <w:jc w:val="center"/>
        <w:rPr>
          <w:sz w:val="72"/>
          <w:szCs w:val="72"/>
        </w:rPr>
      </w:pPr>
    </w:p>
    <w:p>
      <w:pPr>
        <w:pStyle w:val="12"/>
        <w:jc w:val="center"/>
        <w:rPr>
          <w:rFonts w:hint="eastAsia" w:ascii="方正小标宋_GBK" w:hAnsi="方正小标宋_GBK" w:eastAsia="方正小标宋_GBK" w:cs="方正小标宋_GBK"/>
          <w:sz w:val="70"/>
          <w:szCs w:val="70"/>
          <w:lang w:eastAsia="zh-CN"/>
        </w:rPr>
      </w:pPr>
    </w:p>
    <w:p>
      <w:pPr>
        <w:pStyle w:val="12"/>
        <w:jc w:val="center"/>
        <w:rPr>
          <w:rFonts w:hint="eastAsia" w:ascii="方正小标宋_GBK" w:hAnsi="方正小标宋_GBK" w:eastAsia="方正小标宋_GBK" w:cs="方正小标宋_GBK"/>
          <w:sz w:val="70"/>
          <w:szCs w:val="70"/>
          <w:lang w:eastAsia="zh-CN"/>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7"/>
      </w:pPr>
    </w:p>
    <w:p>
      <w:pPr>
        <w:pStyle w:val="4"/>
      </w:pPr>
    </w:p>
    <w:p/>
    <w:p>
      <w:pPr>
        <w:pStyle w:val="7"/>
      </w:pPr>
    </w:p>
    <w:p>
      <w:pPr>
        <w:pStyle w:val="4"/>
      </w:pPr>
    </w:p>
    <w:p/>
    <w:p>
      <w:pPr>
        <w:pStyle w:val="7"/>
      </w:pPr>
    </w:p>
    <w:p>
      <w:pPr>
        <w:pStyle w:val="4"/>
      </w:pPr>
    </w:p>
    <w:p/>
    <w:p>
      <w:pPr>
        <w:pStyle w:val="7"/>
      </w:pPr>
    </w:p>
    <w:p>
      <w:pPr>
        <w:pStyle w:val="4"/>
      </w:pPr>
    </w:p>
    <w:p/>
    <w:p>
      <w:pPr>
        <w:pStyle w:val="7"/>
      </w:pPr>
    </w:p>
    <w:p>
      <w:pPr>
        <w:pStyle w:val="4"/>
      </w:pPr>
    </w:p>
    <w:p/>
    <w:p>
      <w:pPr>
        <w:pStyle w:val="7"/>
      </w:pPr>
    </w:p>
    <w:p>
      <w:pPr>
        <w:pStyle w:val="4"/>
      </w:pPr>
    </w:p>
    <w:p/>
    <w:p>
      <w:pPr>
        <w:pStyle w:val="7"/>
      </w:pPr>
    </w:p>
    <w:p>
      <w:pPr>
        <w:pStyle w:val="4"/>
      </w:pPr>
    </w:p>
    <w:p/>
    <w:p>
      <w:pPr>
        <w:pStyle w:val="7"/>
      </w:pPr>
    </w:p>
    <w:p>
      <w:pPr>
        <w:pStyle w:val="4"/>
      </w:pPr>
    </w:p>
    <w:p/>
    <w:p/>
    <w:p>
      <w:pPr>
        <w:pStyle w:val="7"/>
      </w:pP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pStyle w:val="4"/>
      </w:pPr>
    </w:p>
    <w:p/>
    <w:p/>
    <w:p>
      <w:pPr>
        <w:pStyle w:val="7"/>
      </w:pPr>
    </w:p>
    <w:p>
      <w:pPr>
        <w:pStyle w:val="4"/>
      </w:pPr>
    </w:p>
    <w:p/>
    <w:p>
      <w:pPr>
        <w:pStyle w:val="7"/>
      </w:pPr>
    </w:p>
    <w:p>
      <w:pPr>
        <w:pStyle w:val="4"/>
      </w:pPr>
    </w:p>
    <w:p/>
    <w:p>
      <w:pPr>
        <w:pStyle w:val="7"/>
      </w:pPr>
    </w:p>
    <w:p>
      <w:pPr>
        <w:pStyle w:val="4"/>
      </w:pPr>
    </w:p>
    <w:p/>
    <w:p>
      <w:pPr>
        <w:pStyle w:val="7"/>
      </w:pPr>
    </w:p>
    <w:p>
      <w:pPr>
        <w:pStyle w:val="4"/>
      </w:pPr>
    </w:p>
    <w:p/>
    <w:p>
      <w:pPr>
        <w:pStyle w:val="7"/>
      </w:pPr>
    </w:p>
    <w:p>
      <w:pPr>
        <w:pStyle w:val="4"/>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2"/>
        <w:jc w:val="both"/>
        <w:rPr>
          <w:rFonts w:hint="eastAsia" w:ascii="方正小标宋_GBK" w:hAnsi="方正小标宋_GBK" w:eastAsia="方正小标宋_GBK" w:cs="方正小标宋_GBK"/>
          <w:sz w:val="70"/>
          <w:szCs w:val="70"/>
          <w:lang w:eastAsia="zh-CN"/>
        </w:rPr>
      </w:pPr>
    </w:p>
    <w:p>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7990E"/>
    <w:multiLevelType w:val="singleLevel"/>
    <w:tmpl w:val="EFB7990E"/>
    <w:lvl w:ilvl="0" w:tentative="0">
      <w:start w:val="1"/>
      <w:numFmt w:val="chineseCounting"/>
      <w:lvlText w:val="(%1)"/>
      <w:lvlJc w:val="left"/>
      <w:pPr>
        <w:tabs>
          <w:tab w:val="left" w:pos="312"/>
        </w:tabs>
      </w:pPr>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6C857E7"/>
    <w:rsid w:val="08C24A73"/>
    <w:rsid w:val="12583BA5"/>
    <w:rsid w:val="13BA5B9C"/>
    <w:rsid w:val="17BBA49D"/>
    <w:rsid w:val="1D97DEFF"/>
    <w:rsid w:val="1DFF72E5"/>
    <w:rsid w:val="1EFC6F07"/>
    <w:rsid w:val="1F0527A6"/>
    <w:rsid w:val="1FF3954A"/>
    <w:rsid w:val="22AC03C2"/>
    <w:rsid w:val="2CDE9B28"/>
    <w:rsid w:val="2FDE1D55"/>
    <w:rsid w:val="2FDF85B8"/>
    <w:rsid w:val="2FFFEE04"/>
    <w:rsid w:val="31C95635"/>
    <w:rsid w:val="33F6B710"/>
    <w:rsid w:val="33FB1D15"/>
    <w:rsid w:val="34DF85B0"/>
    <w:rsid w:val="39FD6BA0"/>
    <w:rsid w:val="3AA391D8"/>
    <w:rsid w:val="3B8F36BC"/>
    <w:rsid w:val="3CEF7BE8"/>
    <w:rsid w:val="3FDFF315"/>
    <w:rsid w:val="491FF225"/>
    <w:rsid w:val="4DFD7A94"/>
    <w:rsid w:val="4FD11210"/>
    <w:rsid w:val="4FFD214C"/>
    <w:rsid w:val="5352765A"/>
    <w:rsid w:val="5777D4F5"/>
    <w:rsid w:val="577BF07B"/>
    <w:rsid w:val="59DD8326"/>
    <w:rsid w:val="5DEF592A"/>
    <w:rsid w:val="5E3797D2"/>
    <w:rsid w:val="5F4EA076"/>
    <w:rsid w:val="5FC6BB1E"/>
    <w:rsid w:val="5FF720F1"/>
    <w:rsid w:val="67FF5C0B"/>
    <w:rsid w:val="6BAA4A2F"/>
    <w:rsid w:val="6EFC0924"/>
    <w:rsid w:val="6FB74722"/>
    <w:rsid w:val="6FEF8B7E"/>
    <w:rsid w:val="6FF7045B"/>
    <w:rsid w:val="71A6591B"/>
    <w:rsid w:val="737D59BA"/>
    <w:rsid w:val="737F32B1"/>
    <w:rsid w:val="73EF6169"/>
    <w:rsid w:val="777B9E70"/>
    <w:rsid w:val="77C37683"/>
    <w:rsid w:val="77EF29A3"/>
    <w:rsid w:val="79FF515B"/>
    <w:rsid w:val="7B5BF680"/>
    <w:rsid w:val="7D778CA2"/>
    <w:rsid w:val="7E9E1962"/>
    <w:rsid w:val="7E9F11B4"/>
    <w:rsid w:val="7EBF8CA1"/>
    <w:rsid w:val="7EF7306A"/>
    <w:rsid w:val="7F37EC1E"/>
    <w:rsid w:val="7F7DCD9D"/>
    <w:rsid w:val="7F970A6F"/>
    <w:rsid w:val="7FC1FFF3"/>
    <w:rsid w:val="7FC69637"/>
    <w:rsid w:val="7FD3F89E"/>
    <w:rsid w:val="7FDF8620"/>
    <w:rsid w:val="7FF5CE8B"/>
    <w:rsid w:val="7FFB242F"/>
    <w:rsid w:val="7FFDB408"/>
    <w:rsid w:val="7FFE4EEB"/>
    <w:rsid w:val="95FB2B98"/>
    <w:rsid w:val="9A639BC2"/>
    <w:rsid w:val="9CFFEAEB"/>
    <w:rsid w:val="9FF7D786"/>
    <w:rsid w:val="ABBFB23D"/>
    <w:rsid w:val="AF7B4647"/>
    <w:rsid w:val="B7CFFF03"/>
    <w:rsid w:val="B7FF36B4"/>
    <w:rsid w:val="BBFE20D1"/>
    <w:rsid w:val="C3B4DA5A"/>
    <w:rsid w:val="C7F783E6"/>
    <w:rsid w:val="CBFF70E0"/>
    <w:rsid w:val="CFF50B82"/>
    <w:rsid w:val="CFFFAD89"/>
    <w:rsid w:val="D73D1DDC"/>
    <w:rsid w:val="D75FB686"/>
    <w:rsid w:val="DABBE613"/>
    <w:rsid w:val="DFFE359E"/>
    <w:rsid w:val="DFFE4FFD"/>
    <w:rsid w:val="EBFEE38C"/>
    <w:rsid w:val="EDB5B326"/>
    <w:rsid w:val="EDD6A8E4"/>
    <w:rsid w:val="EEABED75"/>
    <w:rsid w:val="EF6DBF86"/>
    <w:rsid w:val="EFEB093D"/>
    <w:rsid w:val="F2F96EB7"/>
    <w:rsid w:val="F56FDF51"/>
    <w:rsid w:val="F5FF6D78"/>
    <w:rsid w:val="F6B69F17"/>
    <w:rsid w:val="F73FFB40"/>
    <w:rsid w:val="F77F1D61"/>
    <w:rsid w:val="F7B6F730"/>
    <w:rsid w:val="F7F5B0AF"/>
    <w:rsid w:val="F7FED3A9"/>
    <w:rsid w:val="F8C9DB26"/>
    <w:rsid w:val="F97E8EAE"/>
    <w:rsid w:val="F996DCEA"/>
    <w:rsid w:val="FAFF90EC"/>
    <w:rsid w:val="FB36E1A6"/>
    <w:rsid w:val="FB3BE134"/>
    <w:rsid w:val="FCFF4275"/>
    <w:rsid w:val="FCFFC933"/>
    <w:rsid w:val="FD7FEEEA"/>
    <w:rsid w:val="FDFFB577"/>
    <w:rsid w:val="FE3F1FD5"/>
    <w:rsid w:val="FEA3DDF7"/>
    <w:rsid w:val="FEEA50FE"/>
    <w:rsid w:val="FEFB3328"/>
    <w:rsid w:val="FF7D47A9"/>
    <w:rsid w:val="FF7E082C"/>
    <w:rsid w:val="FFAD451B"/>
    <w:rsid w:val="FFCCDD03"/>
    <w:rsid w:val="FFCF21CB"/>
    <w:rsid w:val="FFD5A6C6"/>
    <w:rsid w:val="FFE21E6A"/>
    <w:rsid w:val="FFFEAC31"/>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footnote text"/>
    <w:basedOn w:val="1"/>
    <w:next w:val="4"/>
    <w:semiHidden/>
    <w:qFormat/>
    <w:uiPriority w:val="0"/>
    <w:pPr>
      <w:snapToGrid w:val="0"/>
      <w:jc w:val="left"/>
    </w:pPr>
    <w:rPr>
      <w:sz w:val="18"/>
      <w:szCs w:val="18"/>
    </w:rPr>
  </w:style>
  <w:style w:type="character" w:customStyle="1" w:styleId="10">
    <w:name w:val="页眉 Char"/>
    <w:basedOn w:val="9"/>
    <w:link w:val="2"/>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21</TotalTime>
  <ScaleCrop>false</ScaleCrop>
  <LinksUpToDate>false</LinksUpToDate>
  <CharactersWithSpaces>9008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2020-07-10T02:32:00Z</dcterms:created>
  <dc:creator>李航 null</dc:creator>
  <cp:lastModifiedBy>xjkp</cp:lastModifiedBy>
  <cp:lastPrinted>2024-08-10T10:20:00Z</cp:lastPrinted>
  <dcterms:modified xsi:type="dcterms:W3CDTF">2025-07-29T15:38:34Z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98623D6660B449428EB8E073C6C952EA</vt:lpwstr>
  </property>
</Properties>
</file>