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</w:p>
    <w:p>
      <w:pPr>
        <w:pStyle w:val="3"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0"/>
          <w:sz w:val="40"/>
          <w:szCs w:val="40"/>
          <w:lang w:eastAsia="zh-CN"/>
        </w:rPr>
        <w:t>岳阳市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</w:rPr>
        <w:t>科技创新计划综合绩效评价专家评分表</w:t>
      </w:r>
      <w:bookmarkEnd w:id="0"/>
    </w:p>
    <w:tbl>
      <w:tblPr>
        <w:tblStyle w:val="5"/>
        <w:tblW w:w="9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67"/>
        <w:gridCol w:w="1808"/>
        <w:gridCol w:w="2057"/>
        <w:gridCol w:w="2756"/>
        <w:gridCol w:w="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重点专项名称</w:t>
            </w: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项目编号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项目名称</w:t>
            </w:r>
          </w:p>
        </w:tc>
        <w:tc>
          <w:tcPr>
            <w:tcW w:w="36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项目负责人</w:t>
            </w: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项目牵头单位</w:t>
            </w:r>
          </w:p>
        </w:tc>
        <w:tc>
          <w:tcPr>
            <w:tcW w:w="36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一级评价指标</w:t>
            </w: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二级评价指标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评价标准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得  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绩效目标完成评价（70分）</w:t>
            </w: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主要研究内容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（20分）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任务书约定主要研究内容完成率100%（20分），完成率80%以上（10-19分），完成率60%以上（5-9分）完成率不足60%（0分）。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成果水平与创新性（20分）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  <w:t>任务书技术指标全部完成（10分）；主要指标完成，个别非关键指标未完成（6-9分）；1项以上关键指标未完成，“成果水平与创新性”指标为0分。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成果产出技术水平与创新性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或同行评议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属国际先进水平（10分）；国内先进，接近国际水平（5-9分）；国内领先（1-4分）。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  <w:t>成果转移转化与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  <w:t>推广应用（15分）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设立专门部门安排人员组织成果转化，开展，研究成果的合作交流、转移转化和示范推广情况，开展技术交易合同（1-5分）。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专利、技术标准等知识产权已转化（8-10分），目前未转化，但有较好前景（5-7分），部分成果难以转化（1-4分）。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说明：成果难以转化的“成果转移转化与推广应用”指标为0分。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经济和社会效益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指标（15分）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  <w:t>任务书经济和社会效益指标完成率100%（15分），完成率80%以上（11-14分），完成率60%以上（7-10分）；完成率不足60%为0分。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经济和社会效益指标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为主要考核指标，且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不足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30%的，“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绩效目标完成评价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”为0分。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项目组织管理评价（10分）</w:t>
            </w: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牵头单位法人责任制落实（3分）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项目牵头单位法人责任落实到位，健全内控制度，严格执行变更事项审批程序，开展科研诚信教育等制度（1-3分）。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任务书约定内容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执行（3分）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技术路线、研究团队等变更履行内部审批程序（3分），未严格履行（1-2分）。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  <w:t>项目单位和课题间组织协同情况（2分）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项目负责人（首席专家）统筹组织，参与单位与课题间交流、研发协同密切（2分），偶尔有合作（1分），未见实质性开展研究合作（0分）。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项目主管部门管理情况（2分）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执行期内绩效评价、中期评估、专项审计、监督检查等存有问题整改到位的（2分），基本整改到位（1分）。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6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说明：1. 如擅自修改研究任务技术指标、考核指标，“项目组织管理评价”指标为0分；2. 执行期内绩效评价、中期评估、专项审计、监督检查等存有问题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未整改的，“项目组织管理评价”指标为0分。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lang w:eastAsia="zh-CN"/>
              </w:rPr>
              <w:t>资金管理与使用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</w:rPr>
              <w:t>评价（20分）</w:t>
            </w:r>
          </w:p>
        </w:tc>
        <w:tc>
          <w:tcPr>
            <w:tcW w:w="18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资金到位和拨付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情况（5分）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任务书签订且专项资金到位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后，拨付项目组课题单位时间1个月内（2分），3个月内（1分），3个月以上（0分）。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自筹经费到位率80%-100%（2-3分），不足80%“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资金到位和拨付情况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”指标为0分。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9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1"/>
                <w:sz w:val="24"/>
                <w:szCs w:val="24"/>
              </w:rPr>
              <w:t>会计核算和资金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1"/>
                <w:sz w:val="24"/>
                <w:szCs w:val="24"/>
              </w:rPr>
              <w:t>使用情况（10分）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开支范围和标准与研究任务相符，支出合理（1-5分）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  <w:lang w:val="en-US"/>
              </w:rPr>
              <w:t>。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会计独立核算且规范，财务档案管理规范（1-5分）。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说明：如未独立核算“会计核算和资金使用情况”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为0分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  <w:lang w:val="en-US"/>
              </w:rPr>
              <w:t>。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预算执行与调整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情况（5分）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预算调整履行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  <w:lang w:eastAsia="zh-CN"/>
              </w:rPr>
              <w:t>内部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审批程序（1-2分），如未履行审批程序“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预算执行与调整情况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为0分。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经费预算执行率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80%以上（3），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0%以上（1-2），60%以下（0分）。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说明：如项目已组织财务核查，则根据财务核查分值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  <w:lang w:val="en-US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4"/>
                <w:szCs w:val="24"/>
              </w:rPr>
              <w:t>20%进行换算。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总   分</w:t>
            </w:r>
          </w:p>
        </w:tc>
        <w:tc>
          <w:tcPr>
            <w:tcW w:w="48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意见及建议：</w:t>
            </w:r>
          </w:p>
          <w:p/>
          <w:p>
            <w:pPr>
              <w:pStyle w:val="2"/>
            </w:pPr>
          </w:p>
          <w:p/>
          <w:p/>
          <w:p/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签  名：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pStyle w:val="3"/>
        <w:spacing w:line="600" w:lineRule="exac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sectPr>
          <w:footerReference r:id="rId3" w:type="default"/>
          <w:pgSz w:w="11906" w:h="16838"/>
          <w:pgMar w:top="1587" w:right="1474" w:bottom="1361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TRlZjkzMTExMjY2NGI5MDBlODFkODgxZWY1ZWUifQ=="/>
  </w:docVars>
  <w:rsids>
    <w:rsidRoot w:val="05696619"/>
    <w:rsid w:val="056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2024-04-09T12:10:00Z</dcterms:created>
  <dc:creator>沈偲</dc:creator>
  <cp:lastModifiedBy>沈偲</cp:lastModifiedBy>
  <dcterms:modified xsi:type="dcterms:W3CDTF">2024-04-09T12:11:32Z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11DAAE05DE514383AC3C91786774F5CE_11</vt:lpwstr>
  </property>
</Properties>
</file>