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岳阳市科学技术局2022年度部门预算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2022年部门预算说明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2022年部门预算公开表格</w:t>
            </w:r>
          </w:p>
        </w:tc>
      </w:tr>
      <w:tr>
        <w:tblPrEx>
          <w:tblCellMar>
            <w:top w:w="0" w:type="dxa"/>
            <w:left w:w="108" w:type="dxa"/>
            <w:bottom w:w="0" w:type="dxa"/>
            <w:right w:w="108" w:type="dxa"/>
          </w:tblCellMar>
        </w:tblPrEx>
        <w:trPr>
          <w:trHeight w:val="4519" w:hRule="atLeast"/>
        </w:trPr>
        <w:tc>
          <w:tcPr>
            <w:tcW w:w="5000" w:type="pct"/>
            <w:vMerge w:val="restart"/>
            <w:tcBorders>
              <w:top w:val="nil"/>
              <w:left w:val="nil"/>
              <w:bottom w:val="nil"/>
              <w:right w:val="nil"/>
            </w:tcBorders>
            <w:shd w:val="clear" w:color="auto" w:fill="auto"/>
            <w:vAlign w:val="center"/>
          </w:tcPr>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23、一般公共预算基本支出表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19"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2022年部门预算说明</w:t>
            </w:r>
          </w:p>
        </w:tc>
      </w:tr>
      <w:tr>
        <w:tblPrEx>
          <w:tblCellMar>
            <w:top w:w="0" w:type="dxa"/>
            <w:left w:w="108" w:type="dxa"/>
            <w:bottom w:w="0" w:type="dxa"/>
            <w:right w:w="108" w:type="dxa"/>
          </w:tblCellMar>
        </w:tblPrEx>
        <w:trPr>
          <w:trHeight w:val="3375"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w:t>
            </w:r>
            <w:r>
              <w:rPr>
                <w:rFonts w:hint="eastAsia" w:ascii="仿宋_GB2312" w:hAnsi="宋体" w:eastAsia="仿宋_GB2312" w:cs="宋体"/>
                <w:kern w:val="0"/>
                <w:sz w:val="28"/>
                <w:szCs w:val="28"/>
                <w:lang w:val="en-US" w:eastAsia="zh-CN"/>
              </w:rPr>
              <w:t>部门</w:t>
            </w:r>
            <w:r>
              <w:rPr>
                <w:rFonts w:hint="eastAsia" w:ascii="仿宋_GB2312" w:hAnsi="宋体" w:eastAsia="仿宋_GB2312" w:cs="宋体"/>
                <w:kern w:val="0"/>
                <w:sz w:val="28"/>
                <w:szCs w:val="28"/>
              </w:rPr>
              <w:t>基本概况</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负责全市科学技术进步的宏观管理和统筹协调。贯彻执行国家、省科技法律、法规和方针、政策；牵头拟订全市科技发展规划，确定科技发展的战略布局和优先发展领域；拟订相关政策，并监督实施；参与对经济社会发展有重大影响的跨部门、多学科的综合性项目的论证与决策。</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组织实施市科技重大专项工作。制定相关配套政策；组织科技重大专项实施中的方案论证、评审立项、跟踪管理与评估验收等；统筹申报和组织实施国家、省科技重大专项工作，协调市科技重大专项与国家、省科技重大专项的衔接与配套。</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负责组织实施市级科技计划工作。负责组织制定和实施基础研究计划、科技支撑计划、科技创新引导计划等各类市级科技计划；负责相关国家、省科技计划项目申报、推荐和管理；牵头组织全市经济社会发展重要领域的重大关键技术攻关。</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4.牵头组织全市农村和社会发展领域的科技进步工作。组织拟订科技促进农村和社会发展的规划和政策。</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牵头组织协调促进全市产学研结合工作。会同有关部门拟订促进产学研结合的相关政策；组织重大科技成果应用示范，加强科技成果转化和推广，推动企业技术创新能力建设；拟订促进技术市场、科技中介组织发展政策，负责全市技术市场体系建设和管理，推进科技服务体系发展。</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主管全市高新技术的研究开发、成果转化以及产业化工作。会同有关部门拟订高新技术发展及产业化的规划和政策，组织实施市高新技术产业化重大科技项目；归口管理和指导协调高新技术产业开发区等科技园区及特色产业化基地建设；组织认定高新技术企业、技术先进型服务企业和自主创新产品等相关工作；指导并推动高新技术企业创新发展；参与高新创业投资有关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7.会同有关部门提出全市科技体制改革的政策和措施建议，推进全市创新体系建设；审核相关科研机构的组建和调整。</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负责本部门及归口管理的市级科技经费预决算和经费使用的监督管理；会同有关部门制定多渠道增加科技投入的政策措施；组织拟定全市科研条件保障的规划和相关政策；负责制定并会同有关部门实施全市科技基础条件平台建设计划；推进科技基础条件平台共建共享；会同有关部门提出科技资源合理配置的政策建议。</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9.拟订全市国际与区域科技合作与交流的规划、政策和措施，负责组织实施国际与区域科技合作计划，承办与国外政府间以及国际组织间科技合作和交流事宜。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10.归口管理全市引进国（境）外智力工作。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11.负责全市科学普及工作，拟订全市科普工作规划和相关政策，组织实施科普计划，负责市级科普基地和示范基地认定，进行督促检查，推动科普工作发展。</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12.负责全市科技人才有关工作。会同有关部门拟订科技人才队伍建设规划，提出相关政策建议；承担全市科技人才队伍建设和科技创新团队建设有关工作。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13.负责全市科技奖励、科技保密、科技评估、科技统计、科技信息管理等工作。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14.</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承办市委、市人民政府交办其他事项。</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根据编委核定，我局内设12个科室，全部纳入2022年部门预算编制范围。</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内设科室分别是办公室、战略规划与资源配置科、高新技术发展及产业化科、农村科技科、社会发展科技科、成果转化与区域创新科、外国专家服务科、人事科、机关党委、机关纪委、机关工会和离退休人员管理服务科。</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本部门预算为汇总预算，纳入编制范围的预算单位包括：</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1、岳阳市科学技术局本级</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2、岳阳市科技事务中心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三、部门收支总体情况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22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 xml:space="preserve">   </w:t>
            </w:r>
            <w:r>
              <w:rPr>
                <w:rFonts w:hint="eastAsia" w:ascii="仿宋_GB2312" w:hAnsi="宋体" w:eastAsia="仿宋_GB2312" w:cs="宋体"/>
                <w:color w:val="auto"/>
                <w:kern w:val="0"/>
                <w:sz w:val="28"/>
                <w:szCs w:val="28"/>
              </w:rPr>
              <w:t xml:space="preserve"> 包括一般公共预算、政府性基金、国有资本经营预算等财政拨款收入，以及经营收入、事业收入等单位资金。2022年本部门收入预算766.54万元，其中，一般公共预算拨款766.54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color w:val="000000"/>
                <w:kern w:val="0"/>
                <w:sz w:val="28"/>
                <w:szCs w:val="28"/>
              </w:rPr>
              <w:t>收入较去年增加255.47万元，主要是因为2022年度单独申报了伙食补助、工会经费补助、物业服务补贴、预安排综合绩效奖和平安岳阳建设奖等经费。</w:t>
            </w:r>
          </w:p>
        </w:tc>
      </w:tr>
      <w:tr>
        <w:tblPrEx>
          <w:tblCellMar>
            <w:top w:w="0" w:type="dxa"/>
            <w:left w:w="108" w:type="dxa"/>
            <w:bottom w:w="0" w:type="dxa"/>
            <w:right w:w="108" w:type="dxa"/>
          </w:tblCellMar>
        </w:tblPrEx>
        <w:trPr>
          <w:trHeight w:val="402"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32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8"/>
                <w:szCs w:val="28"/>
              </w:rPr>
            </w:pPr>
            <w:r>
              <w:rPr>
                <w:rFonts w:hint="eastAsia"/>
              </w:rPr>
              <w:t xml:space="preserve">    </w:t>
            </w:r>
            <w:r>
              <w:rPr>
                <w:rFonts w:hint="eastAsia" w:ascii="仿宋_GB2312" w:hAnsi="宋体" w:eastAsia="仿宋_GB2312" w:cs="宋体"/>
                <w:color w:val="000000"/>
                <w:kern w:val="0"/>
                <w:sz w:val="28"/>
                <w:szCs w:val="28"/>
              </w:rPr>
              <w:t>2022年本部门支出预算766.54万元，其中，一般公共服务支出1万元，占比0.13%，科学技术支出662.09万元，占比86.37%，社会保障和就业支出43.71万元，占比5.70%，卫生健康支出27.44万元，占比3.58%，住房保障支出32.29万元，占比4.21%。支出较去年增加255.47万元，主要是因为2022年度单独申报了伙食补助、工会经费补助、物业服务补贴、预安排综合绩效奖和平安岳阳建设奖等经费。</w:t>
            </w:r>
          </w:p>
          <w:p>
            <w:pPr>
              <w:widowControl/>
              <w:ind w:firstLine="280" w:firstLineChars="100"/>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2022年预算公开文档第三大点（对应表3）、第四大点（对应表7）中的金额和百分比，由于预算编制时金额明细到了“分”，而公开表格显示和公开文档取数只到“百元”，可能导致0.01的尾数差异。</w:t>
            </w:r>
          </w:p>
          <w:p>
            <w:pPr>
              <w:pStyle w:val="2"/>
            </w:pP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部门一般公共预算拨款支出预算766.54万元，其中，一般公共服务支出1万元，占比0.13%，科学技术支出662.09万元，占比86.37%，社会保障和就业支出43.71万元，占比5.70%，卫生健康支出27.44万元，占比3.58%，住房保障支出32.29万元，占比4.21%。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468.9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3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 xml:space="preserve">    </w:t>
            </w:r>
            <w:r>
              <w:rPr>
                <w:rFonts w:hint="eastAsia" w:ascii="仿宋_GB2312" w:hAnsi="宋体" w:eastAsia="仿宋_GB2312" w:cs="宋体"/>
                <w:color w:val="auto"/>
                <w:kern w:val="0"/>
                <w:sz w:val="28"/>
                <w:szCs w:val="28"/>
              </w:rPr>
              <w:t>（二）项目支出：2022年项目支出年初预算数为297.64万元（数据来源见表20），是指单位为完成特定行政工作任务或事业发展目标而发生的支出，包括有关业务工作经费、运行维护经费等。其中：工会经费补助18.9万元，主要用于</w:t>
            </w:r>
            <w:r>
              <w:rPr>
                <w:rFonts w:hint="eastAsia" w:ascii="仿宋_GB2312" w:hAnsi="宋体" w:eastAsia="仿宋_GB2312" w:cs="宋体"/>
                <w:color w:val="auto"/>
                <w:kern w:val="0"/>
                <w:sz w:val="28"/>
                <w:szCs w:val="28"/>
                <w:lang w:eastAsia="zh-CN"/>
              </w:rPr>
              <w:t>本级工会福利、活动</w:t>
            </w:r>
            <w:r>
              <w:rPr>
                <w:rFonts w:hint="eastAsia" w:ascii="仿宋_GB2312" w:hAnsi="宋体" w:eastAsia="仿宋_GB2312" w:cs="宋体"/>
                <w:color w:val="auto"/>
                <w:kern w:val="0"/>
                <w:sz w:val="28"/>
                <w:szCs w:val="28"/>
              </w:rPr>
              <w:t>方面，伙食补助25.2万元，主要用于</w:t>
            </w:r>
            <w:r>
              <w:rPr>
                <w:rFonts w:hint="eastAsia" w:ascii="仿宋_GB2312" w:hAnsi="宋体" w:eastAsia="仿宋_GB2312" w:cs="宋体"/>
                <w:color w:val="auto"/>
                <w:kern w:val="0"/>
                <w:sz w:val="28"/>
                <w:szCs w:val="28"/>
                <w:lang w:eastAsia="zh-CN"/>
              </w:rPr>
              <w:t>本级在职和离退休人员中餐补助</w:t>
            </w:r>
            <w:r>
              <w:rPr>
                <w:rFonts w:hint="eastAsia" w:ascii="仿宋_GB2312" w:hAnsi="宋体" w:eastAsia="仿宋_GB2312" w:cs="宋体"/>
                <w:color w:val="auto"/>
                <w:kern w:val="0"/>
                <w:sz w:val="28"/>
                <w:szCs w:val="28"/>
              </w:rPr>
              <w:t>方面，物业服务补贴22.68万元，主要用于</w:t>
            </w:r>
            <w:r>
              <w:rPr>
                <w:rFonts w:hint="eastAsia" w:ascii="仿宋_GB2312" w:hAnsi="宋体" w:eastAsia="仿宋_GB2312" w:cs="宋体"/>
                <w:color w:val="auto"/>
                <w:kern w:val="0"/>
                <w:sz w:val="28"/>
                <w:szCs w:val="28"/>
                <w:lang w:eastAsia="zh-CN"/>
              </w:rPr>
              <w:t>本级在职和离退休人员物业补贴</w:t>
            </w:r>
            <w:r>
              <w:rPr>
                <w:rFonts w:hint="eastAsia" w:ascii="仿宋_GB2312" w:hAnsi="宋体" w:eastAsia="仿宋_GB2312" w:cs="宋体"/>
                <w:color w:val="auto"/>
                <w:kern w:val="0"/>
                <w:sz w:val="28"/>
                <w:szCs w:val="28"/>
              </w:rPr>
              <w:t>方面，预安排综合绩效奖和平安岳阳建设奖126万元，主要用于</w:t>
            </w:r>
            <w:r>
              <w:rPr>
                <w:rFonts w:hint="eastAsia" w:ascii="仿宋_GB2312" w:hAnsi="宋体" w:eastAsia="仿宋_GB2312" w:cs="宋体"/>
                <w:color w:val="auto"/>
                <w:kern w:val="0"/>
                <w:sz w:val="28"/>
                <w:szCs w:val="28"/>
                <w:lang w:eastAsia="zh-CN"/>
              </w:rPr>
              <w:t>本级人员绩效奖金</w:t>
            </w:r>
            <w:r>
              <w:rPr>
                <w:rFonts w:hint="eastAsia" w:ascii="仿宋_GB2312" w:hAnsi="宋体" w:eastAsia="仿宋_GB2312" w:cs="宋体"/>
                <w:color w:val="auto"/>
                <w:kern w:val="0"/>
                <w:sz w:val="28"/>
                <w:szCs w:val="28"/>
              </w:rPr>
              <w:t>方面，科技交流与合作5万元，主要用于</w:t>
            </w:r>
            <w:r>
              <w:rPr>
                <w:rFonts w:hint="eastAsia" w:ascii="仿宋_GB2312" w:hAnsi="宋体" w:eastAsia="仿宋_GB2312" w:cs="宋体"/>
                <w:color w:val="auto"/>
                <w:kern w:val="0"/>
                <w:sz w:val="28"/>
                <w:szCs w:val="28"/>
                <w:lang w:eastAsia="zh-CN"/>
              </w:rPr>
              <w:t>本级</w:t>
            </w:r>
            <w:r>
              <w:rPr>
                <w:rFonts w:hint="eastAsia" w:ascii="仿宋_GB2312" w:hAnsi="宋体" w:eastAsia="仿宋_GB2312" w:cs="宋体"/>
                <w:color w:val="auto"/>
                <w:kern w:val="0"/>
                <w:sz w:val="28"/>
                <w:szCs w:val="28"/>
                <w:lang w:val="en-US" w:eastAsia="zh-CN"/>
              </w:rPr>
              <w:t>业务工作</w:t>
            </w:r>
            <w:r>
              <w:rPr>
                <w:rFonts w:hint="eastAsia" w:ascii="仿宋_GB2312" w:hAnsi="宋体" w:eastAsia="仿宋_GB2312" w:cs="宋体"/>
                <w:color w:val="auto"/>
                <w:kern w:val="0"/>
                <w:sz w:val="28"/>
                <w:szCs w:val="28"/>
              </w:rPr>
              <w:t>方面，科技条件与服务5万元，主要用于</w:t>
            </w:r>
            <w:r>
              <w:rPr>
                <w:rFonts w:hint="eastAsia" w:ascii="仿宋_GB2312" w:hAnsi="宋体" w:eastAsia="仿宋_GB2312" w:cs="宋体"/>
                <w:color w:val="auto"/>
                <w:kern w:val="0"/>
                <w:sz w:val="28"/>
                <w:szCs w:val="28"/>
                <w:lang w:eastAsia="zh-CN"/>
              </w:rPr>
              <w:t>本级</w:t>
            </w:r>
            <w:r>
              <w:rPr>
                <w:rFonts w:hint="eastAsia" w:ascii="仿宋_GB2312" w:hAnsi="宋体" w:eastAsia="仿宋_GB2312" w:cs="宋体"/>
                <w:color w:val="auto"/>
                <w:kern w:val="0"/>
                <w:sz w:val="28"/>
                <w:szCs w:val="28"/>
                <w:lang w:val="en-US" w:eastAsia="zh-CN"/>
              </w:rPr>
              <w:t>业务工作</w:t>
            </w:r>
            <w:r>
              <w:rPr>
                <w:rFonts w:hint="eastAsia" w:ascii="仿宋_GB2312" w:hAnsi="宋体" w:eastAsia="仿宋_GB2312" w:cs="宋体"/>
                <w:color w:val="auto"/>
                <w:kern w:val="0"/>
                <w:sz w:val="28"/>
                <w:szCs w:val="28"/>
              </w:rPr>
              <w:t>方面，工会经费补助9.3万元，主要用于</w:t>
            </w:r>
            <w:r>
              <w:rPr>
                <w:rFonts w:hint="eastAsia" w:ascii="仿宋_GB2312" w:hAnsi="宋体" w:eastAsia="仿宋_GB2312" w:cs="宋体"/>
                <w:color w:val="auto"/>
                <w:kern w:val="0"/>
                <w:sz w:val="28"/>
                <w:szCs w:val="28"/>
                <w:lang w:eastAsia="zh-CN"/>
              </w:rPr>
              <w:t>事务中心工会福利、活动</w:t>
            </w:r>
            <w:r>
              <w:rPr>
                <w:rFonts w:hint="eastAsia" w:ascii="仿宋_GB2312" w:hAnsi="宋体" w:eastAsia="仿宋_GB2312" w:cs="宋体"/>
                <w:color w:val="auto"/>
                <w:kern w:val="0"/>
                <w:sz w:val="28"/>
                <w:szCs w:val="28"/>
              </w:rPr>
              <w:t>方面，伙食补助12.4万元，主要用于</w:t>
            </w:r>
            <w:r>
              <w:rPr>
                <w:rFonts w:hint="eastAsia" w:ascii="仿宋_GB2312" w:hAnsi="宋体" w:eastAsia="仿宋_GB2312" w:cs="宋体"/>
                <w:color w:val="auto"/>
                <w:kern w:val="0"/>
                <w:sz w:val="28"/>
                <w:szCs w:val="28"/>
                <w:lang w:eastAsia="zh-CN"/>
              </w:rPr>
              <w:t>事务中心在职和退休人员中餐补助</w:t>
            </w:r>
            <w:r>
              <w:rPr>
                <w:rFonts w:hint="eastAsia" w:ascii="仿宋_GB2312" w:hAnsi="宋体" w:eastAsia="仿宋_GB2312" w:cs="宋体"/>
                <w:color w:val="auto"/>
                <w:kern w:val="0"/>
                <w:sz w:val="28"/>
                <w:szCs w:val="28"/>
              </w:rPr>
              <w:t>方面，物业补贴11.16万元，主要用于</w:t>
            </w:r>
            <w:r>
              <w:rPr>
                <w:rFonts w:hint="eastAsia" w:ascii="仿宋_GB2312" w:hAnsi="宋体" w:eastAsia="仿宋_GB2312" w:cs="宋体"/>
                <w:color w:val="auto"/>
                <w:kern w:val="0"/>
                <w:sz w:val="28"/>
                <w:szCs w:val="28"/>
                <w:lang w:eastAsia="zh-CN"/>
              </w:rPr>
              <w:t>事务中心在职和退休人员物业补贴</w:t>
            </w:r>
            <w:r>
              <w:rPr>
                <w:rFonts w:hint="eastAsia" w:ascii="仿宋_GB2312" w:hAnsi="宋体" w:eastAsia="仿宋_GB2312" w:cs="宋体"/>
                <w:color w:val="auto"/>
                <w:kern w:val="0"/>
                <w:sz w:val="28"/>
                <w:szCs w:val="28"/>
              </w:rPr>
              <w:t>方面，预拨年终绩效奖和平安岳阳建设奖62万元，主要用于</w:t>
            </w:r>
            <w:r>
              <w:rPr>
                <w:rFonts w:hint="eastAsia" w:ascii="仿宋_GB2312" w:hAnsi="宋体" w:eastAsia="仿宋_GB2312" w:cs="宋体"/>
                <w:color w:val="auto"/>
                <w:kern w:val="0"/>
                <w:sz w:val="28"/>
                <w:szCs w:val="28"/>
                <w:lang w:eastAsia="zh-CN"/>
              </w:rPr>
              <w:t>事务中心人员绩效奖金</w:t>
            </w:r>
            <w:r>
              <w:rPr>
                <w:rFonts w:hint="eastAsia" w:ascii="仿宋_GB2312" w:hAnsi="宋体" w:eastAsia="仿宋_GB2312" w:cs="宋体"/>
                <w:color w:val="auto"/>
                <w:kern w:val="0"/>
                <w:sz w:val="28"/>
                <w:szCs w:val="28"/>
              </w:rPr>
              <w:t>方面。</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2022年度本部门无政府性基金安排的支出，所以公开的附件15-17（政府性基金预算）为空。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 xml:space="preserve">  </w:t>
            </w:r>
            <w:r>
              <w:rPr>
                <w:rFonts w:hint="eastAsia" w:ascii="仿宋_GB2312" w:hAnsi="宋体" w:eastAsia="仿宋_GB2312" w:cs="宋体"/>
                <w:color w:val="auto"/>
                <w:kern w:val="0"/>
                <w:sz w:val="28"/>
                <w:szCs w:val="28"/>
              </w:rPr>
              <w:t xml:space="preserve"> 2022年本部门</w:t>
            </w:r>
            <w:r>
              <w:rPr>
                <w:rFonts w:hint="eastAsia" w:ascii="仿宋_GB2312" w:hAnsi="宋体" w:eastAsia="仿宋_GB2312" w:cs="宋体"/>
                <w:color w:val="auto"/>
                <w:kern w:val="0"/>
                <w:sz w:val="28"/>
                <w:szCs w:val="28"/>
                <w:lang w:eastAsia="zh-CN"/>
              </w:rPr>
              <w:t>岳阳市科学技术局</w:t>
            </w:r>
            <w:r>
              <w:rPr>
                <w:rFonts w:hint="eastAsia" w:ascii="仿宋_GB2312" w:hAnsi="宋体" w:eastAsia="仿宋_GB2312" w:cs="宋体"/>
                <w:color w:val="auto"/>
                <w:kern w:val="0"/>
                <w:sz w:val="28"/>
                <w:szCs w:val="28"/>
              </w:rPr>
              <w:t>机关本级、</w:t>
            </w:r>
            <w:r>
              <w:rPr>
                <w:rFonts w:hint="eastAsia" w:ascii="仿宋_GB2312" w:hAnsi="宋体" w:eastAsia="仿宋_GB2312" w:cs="宋体"/>
                <w:color w:val="auto"/>
                <w:kern w:val="0"/>
                <w:sz w:val="28"/>
                <w:szCs w:val="28"/>
                <w:lang w:eastAsia="zh-CN"/>
              </w:rPr>
              <w:t>岳阳市科技事务中心</w:t>
            </w:r>
            <w:r>
              <w:rPr>
                <w:rFonts w:hint="eastAsia" w:ascii="仿宋_GB2312" w:hAnsi="宋体" w:eastAsia="仿宋_GB2312" w:cs="宋体"/>
                <w:color w:val="auto"/>
                <w:kern w:val="0"/>
                <w:sz w:val="28"/>
                <w:szCs w:val="28"/>
              </w:rPr>
              <w:t>共</w:t>
            </w: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家行政事业单位的机关运行经费81.27万元（数据来源见表12），比上一年增加6.59万元，增加8.82%。主要原因是申报了车补经费。</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w:t>
            </w:r>
            <w:r>
              <w:rPr>
                <w:rFonts w:hint="eastAsia" w:ascii="仿宋_GB2312" w:hAnsi="宋体" w:eastAsia="仿宋_GB2312" w:cs="宋体"/>
                <w:kern w:val="0"/>
                <w:sz w:val="28"/>
                <w:szCs w:val="28"/>
                <w:lang w:val="en-US" w:eastAsia="zh-CN"/>
              </w:rPr>
              <w:t>部门</w:t>
            </w:r>
            <w:r>
              <w:rPr>
                <w:rFonts w:hint="eastAsia" w:ascii="仿宋_GB2312" w:hAnsi="宋体" w:eastAsia="仿宋_GB2312" w:cs="宋体"/>
                <w:kern w:val="0"/>
                <w:sz w:val="28"/>
                <w:szCs w:val="28"/>
              </w:rPr>
              <w:t>2022年“三公”经费预算数</w:t>
            </w:r>
            <w:r>
              <w:rPr>
                <w:rFonts w:hint="eastAsia" w:ascii="仿宋_GB2312" w:hAnsi="宋体" w:eastAsia="仿宋_GB2312" w:cs="宋体"/>
                <w:kern w:val="0"/>
                <w:sz w:val="28"/>
                <w:szCs w:val="28"/>
                <w:lang w:val="en-US" w:eastAsia="zh-CN"/>
              </w:rPr>
              <w:t>20.3</w:t>
            </w:r>
            <w:r>
              <w:rPr>
                <w:rFonts w:hint="eastAsia" w:ascii="仿宋_GB2312" w:hAnsi="宋体" w:eastAsia="仿宋_GB2312" w:cs="宋体"/>
                <w:kern w:val="0"/>
                <w:sz w:val="28"/>
                <w:szCs w:val="28"/>
              </w:rPr>
              <w:t>万元，其中，公务接待费</w:t>
            </w:r>
            <w:r>
              <w:rPr>
                <w:rFonts w:hint="eastAsia" w:ascii="仿宋_GB2312" w:hAnsi="宋体" w:eastAsia="仿宋_GB2312" w:cs="宋体"/>
                <w:kern w:val="0"/>
                <w:sz w:val="28"/>
                <w:szCs w:val="28"/>
                <w:lang w:val="en-US" w:eastAsia="zh-CN"/>
              </w:rPr>
              <w:t>6.3</w:t>
            </w:r>
            <w:r>
              <w:rPr>
                <w:rFonts w:hint="eastAsia" w:ascii="仿宋_GB2312" w:hAnsi="宋体" w:eastAsia="仿宋_GB2312" w:cs="宋体"/>
                <w:kern w:val="0"/>
                <w:sz w:val="28"/>
                <w:szCs w:val="28"/>
              </w:rPr>
              <w:t>万元，因公出国（境）费</w:t>
            </w:r>
            <w:r>
              <w:rPr>
                <w:rFonts w:hint="eastAsia" w:ascii="仿宋_GB2312" w:hAnsi="宋体" w:eastAsia="仿宋_GB2312" w:cs="宋体"/>
                <w:kern w:val="0"/>
                <w:sz w:val="28"/>
                <w:szCs w:val="28"/>
                <w:lang w:val="en-US" w:eastAsia="zh-CN"/>
              </w:rPr>
              <w:t>11</w:t>
            </w:r>
            <w:r>
              <w:rPr>
                <w:rFonts w:hint="eastAsia" w:ascii="仿宋_GB2312" w:hAnsi="宋体" w:eastAsia="仿宋_GB2312" w:cs="宋体"/>
                <w:kern w:val="0"/>
                <w:sz w:val="28"/>
                <w:szCs w:val="28"/>
              </w:rPr>
              <w:t>万元，公务用车购置及运行费3万元，其中公务用车购置费0万元，公务用车运行费3万元。比上一年减少52万元，降低74.28%，主要原因是厉行节约，车补经费未列入三公经费范畴。</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度会议费预算2万元，拟召开1次会议，人数200人，内容为岳阳市科技创新大会；培训费预算1万元，拟开展2次培训，人数300人，内容为高新技术企业认定工作和星创天地申报认定工作。2022年度未计划举办节庆、晚会、论坛、赛事活动。</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本单位2022年政府采购预算总额35.92万元，其中货物类35.92万元</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工程类0万元，服务类0万元</w:t>
            </w:r>
            <w:r>
              <w:rPr>
                <w:rFonts w:hint="eastAsia" w:ascii="仿宋_GB2312" w:hAnsi="宋体" w:eastAsia="仿宋_GB2312" w:cs="宋体"/>
                <w:kern w:val="0"/>
                <w:sz w:val="28"/>
                <w:szCs w:val="28"/>
              </w:rPr>
              <w:t>。</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259"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截至上一年12月底，本单位共有车辆1辆，其中一般公务用车1辆</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领导干部用车0辆，其他用车0辆</w:t>
            </w:r>
            <w:r>
              <w:rPr>
                <w:rFonts w:hint="eastAsia" w:ascii="仿宋_GB2312" w:hAnsi="宋体" w:eastAsia="仿宋_GB2312" w:cs="宋体"/>
                <w:kern w:val="0"/>
                <w:sz w:val="28"/>
                <w:szCs w:val="28"/>
              </w:rPr>
              <w:t>。单位价值50万元以上通用设备0台，单位价值100万元以上专用设备0台。</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2022年度本单位未计划处置或新增车辆、设备等。</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本部门所有支出实行绩效目标管理。纳入2022年部门整体支出绩效目标的金额为766.54万元，其中，基本支出468.9万元，项目支出297.64万元，详见文尾附表中部门预算公开表格的表21-22。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2022年部门预算公开表格</w:t>
            </w:r>
          </w:p>
        </w:tc>
      </w:tr>
      <w:tr>
        <w:tblPrEx>
          <w:tblCellMar>
            <w:top w:w="0" w:type="dxa"/>
            <w:left w:w="108" w:type="dxa"/>
            <w:bottom w:w="0" w:type="dxa"/>
            <w:right w:w="108" w:type="dxa"/>
          </w:tblCellMar>
        </w:tblPrEx>
        <w:trPr>
          <w:trHeight w:val="4500" w:hRule="atLeast"/>
        </w:trPr>
        <w:tc>
          <w:tcPr>
            <w:tcW w:w="5000" w:type="pct"/>
            <w:vMerge w:val="restart"/>
            <w:tcBorders>
              <w:top w:val="nil"/>
              <w:left w:val="nil"/>
              <w:bottom w:val="nil"/>
              <w:right w:val="nil"/>
            </w:tcBorders>
            <w:shd w:val="clear" w:color="auto" w:fill="auto"/>
            <w:vAlign w:val="center"/>
          </w:tcPr>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bookmarkStart w:id="0" w:name="_GoBack"/>
            <w:bookmarkEnd w:id="0"/>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23、一般公共预算基本支出表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00"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BC07F"/>
    <w:multiLevelType w:val="singleLevel"/>
    <w:tmpl w:val="DC4BC07F"/>
    <w:lvl w:ilvl="0" w:tentative="0">
      <w:start w:val="1"/>
      <w:numFmt w:val="decimal"/>
      <w:suff w:val="nothing"/>
      <w:lvlText w:val="%1、"/>
      <w:lvlJc w:val="left"/>
    </w:lvl>
  </w:abstractNum>
  <w:abstractNum w:abstractNumId="1">
    <w:nsid w:val="59C843E1"/>
    <w:multiLevelType w:val="singleLevel"/>
    <w:tmpl w:val="59C843E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4MmQzMzY3MWU0ZjkwNjE0ZTcwMzYzOGVmOWE5YTYifQ=="/>
  </w:docVars>
  <w:rsids>
    <w:rsidRoot w:val="00A2615C"/>
    <w:rsid w:val="001F2836"/>
    <w:rsid w:val="00293B98"/>
    <w:rsid w:val="00A2615C"/>
    <w:rsid w:val="00BF6A27"/>
    <w:rsid w:val="00D459E2"/>
    <w:rsid w:val="00D90405"/>
    <w:rsid w:val="4065085A"/>
    <w:rsid w:val="417FFC7F"/>
    <w:rsid w:val="79013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4399</Words>
  <Characters>4714</Characters>
  <Lines>33</Lines>
  <Paragraphs>9</Paragraphs>
  <TotalTime>0</TotalTime>
  <ScaleCrop>false</ScaleCrop>
  <LinksUpToDate>false</LinksUpToDate>
  <CharactersWithSpaces>4762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2023-05-30T10:19:00Z</dcterms:created>
  <dc:creator>微软用户</dc:creator>
  <cp:lastModifiedBy>kylin</cp:lastModifiedBy>
  <dcterms:modified xsi:type="dcterms:W3CDTF">2023-09-22T16:18:31Z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C8D35B40C16B4DFEA17DF0B94313AEC0_12</vt:lpwstr>
  </property>
</Properties>
</file>