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岳阳市科技事务中心部门</w:t>
      </w:r>
    </w:p>
    <w:p>
      <w:pPr>
        <w:pStyle w:val="10"/>
        <w:jc w:val="center"/>
        <w:rPr>
          <w:sz w:val="84"/>
          <w:szCs w:val="84"/>
        </w:rPr>
      </w:pPr>
      <w:r>
        <w:rPr>
          <w:rFonts w:hint="eastAsia"/>
          <w:sz w:val="84"/>
          <w:szCs w:val="84"/>
        </w:rPr>
        <w:t>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both"/>
        <w:rPr>
          <w:b/>
          <w:sz w:val="36"/>
          <w:szCs w:val="28"/>
        </w:rPr>
      </w:pPr>
    </w:p>
    <w:p>
      <w:pPr>
        <w:pStyle w:val="10"/>
        <w:spacing w:line="500" w:lineRule="exact"/>
        <w:jc w:val="center"/>
        <w:rPr>
          <w:b/>
          <w:sz w:val="36"/>
          <w:szCs w:val="28"/>
        </w:rPr>
      </w:pPr>
    </w:p>
    <w:p>
      <w:pPr>
        <w:pStyle w:val="10"/>
        <w:spacing w:line="480" w:lineRule="exact"/>
        <w:jc w:val="center"/>
        <w:rPr>
          <w:b/>
          <w:sz w:val="36"/>
          <w:szCs w:val="28"/>
        </w:rPr>
      </w:pPr>
      <w:r>
        <w:rPr>
          <w:rFonts w:hint="eastAsia"/>
          <w:b/>
          <w:sz w:val="36"/>
          <w:szCs w:val="28"/>
        </w:rPr>
        <w:t>目录</w:t>
      </w:r>
    </w:p>
    <w:p>
      <w:pPr>
        <w:pStyle w:val="10"/>
        <w:spacing w:line="480" w:lineRule="exact"/>
        <w:rPr>
          <w:rFonts w:ascii="仿宋_GB2312" w:hAnsi="仿宋_GB2312" w:cs="仿宋_GB2312"/>
          <w:b/>
          <w:sz w:val="28"/>
          <w:szCs w:val="28"/>
        </w:rPr>
      </w:pPr>
      <w:r>
        <w:rPr>
          <w:rFonts w:hint="eastAsia"/>
          <w:b/>
          <w:sz w:val="28"/>
          <w:szCs w:val="28"/>
        </w:rPr>
        <w:t>第一部分  岳阳市科技事务中心概况</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480" w:lineRule="exact"/>
        <w:ind w:firstLine="700" w:firstLineChars="250"/>
        <w:rPr>
          <w:rFonts w:hint="eastAsia" w:cs="仿宋_GB2312" w:asciiTheme="minorEastAsia" w:hAnsiTheme="minorEastAsia" w:eastAsiaTheme="minorEastAsia"/>
          <w:sz w:val="28"/>
          <w:szCs w:val="28"/>
          <w:lang w:eastAsia="zh-CN"/>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lang w:eastAsia="zh-CN"/>
        </w:rPr>
        <w:t>及决算单位构成</w:t>
      </w:r>
    </w:p>
    <w:p>
      <w:pPr>
        <w:pStyle w:val="10"/>
        <w:spacing w:line="480" w:lineRule="exact"/>
        <w:rPr>
          <w:rFonts w:ascii="仿宋_GB2312" w:hAnsi="仿宋_GB2312" w:cs="仿宋_GB2312"/>
          <w:b/>
          <w:sz w:val="28"/>
          <w:szCs w:val="28"/>
        </w:rPr>
      </w:pPr>
      <w:r>
        <w:rPr>
          <w:rFonts w:hint="eastAsia" w:hAnsi="仿宋_GB2312"/>
          <w:b/>
          <w:sz w:val="28"/>
          <w:szCs w:val="28"/>
        </w:rPr>
        <w:t xml:space="preserve">第二部分  </w:t>
      </w:r>
      <w:r>
        <w:rPr>
          <w:rFonts w:hAnsi="仿宋_GB2312"/>
          <w:b/>
          <w:sz w:val="28"/>
          <w:szCs w:val="28"/>
        </w:rPr>
        <w:t>20</w:t>
      </w:r>
      <w:r>
        <w:rPr>
          <w:rFonts w:hint="eastAsia" w:hAnsi="仿宋_GB2312"/>
          <w:b/>
          <w:sz w:val="28"/>
          <w:szCs w:val="28"/>
        </w:rPr>
        <w:t>21年度部门决算表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48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480" w:lineRule="exact"/>
        <w:rPr>
          <w:rFonts w:ascii="仿宋_GB2312" w:hAnsi="仿宋_GB2312" w:cs="仿宋_GB2312"/>
          <w:b/>
          <w:sz w:val="28"/>
          <w:szCs w:val="28"/>
        </w:rPr>
      </w:pPr>
      <w:r>
        <w:rPr>
          <w:rFonts w:hint="eastAsia" w:hAnsi="仿宋_GB2312"/>
          <w:b/>
          <w:sz w:val="28"/>
          <w:szCs w:val="28"/>
        </w:rPr>
        <w:t xml:space="preserve">第三部分  </w:t>
      </w:r>
      <w:r>
        <w:rPr>
          <w:rFonts w:hAnsi="仿宋_GB2312"/>
          <w:b/>
          <w:sz w:val="28"/>
          <w:szCs w:val="28"/>
        </w:rPr>
        <w:t>20</w:t>
      </w:r>
      <w:r>
        <w:rPr>
          <w:rFonts w:hint="eastAsia" w:hAnsi="仿宋_GB2312"/>
          <w:b/>
          <w:sz w:val="28"/>
          <w:szCs w:val="28"/>
        </w:rPr>
        <w:t>21年度部门决算情况说明</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48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sz w:val="28"/>
          <w:szCs w:val="28"/>
        </w:rPr>
        <w:t>国有资本经营预算财政拨款支出决算情况</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十、机关运行经费支出说明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十一、一般性支出情况说明</w:t>
      </w:r>
    </w:p>
    <w:p>
      <w:pPr>
        <w:autoSpaceDE w:val="0"/>
        <w:autoSpaceDN w:val="0"/>
        <w:adjustRightInd w:val="0"/>
        <w:spacing w:line="480" w:lineRule="exact"/>
        <w:ind w:firstLine="700" w:firstLineChars="250"/>
        <w:jc w:val="left"/>
        <w:rPr>
          <w:rFonts w:ascii="仿宋_GB2312" w:hAnsi="仿宋_GB2312" w:cs="仿宋_GB2312"/>
          <w:sz w:val="28"/>
          <w:szCs w:val="28"/>
        </w:rPr>
      </w:pPr>
      <w:r>
        <w:rPr>
          <w:rFonts w:hint="eastAsia" w:ascii="仿宋_GB2312" w:hAnsi="仿宋_GB2312" w:cs="仿宋_GB2312"/>
          <w:sz w:val="28"/>
          <w:szCs w:val="28"/>
        </w:rPr>
        <w:t>十二、</w:t>
      </w:r>
      <w:r>
        <w:rPr>
          <w:rFonts w:hint="eastAsia" w:ascii="仿宋_GB2312" w:hAnsi="仿宋_GB2312" w:cs="仿宋_GB2312"/>
          <w:color w:val="000000"/>
          <w:kern w:val="0"/>
          <w:sz w:val="28"/>
          <w:szCs w:val="28"/>
        </w:rPr>
        <w:t>政府采购支出说明</w:t>
      </w:r>
    </w:p>
    <w:p>
      <w:pPr>
        <w:pStyle w:val="10"/>
        <w:spacing w:line="48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十三、国有资产占用情况说明</w:t>
      </w:r>
    </w:p>
    <w:p>
      <w:pPr>
        <w:pStyle w:val="10"/>
        <w:spacing w:line="48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十四、</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48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rPr>
        <w:t xml:space="preserve">  </w:t>
      </w:r>
      <w:r>
        <w:rPr>
          <w:rFonts w:ascii="黑体" w:hAnsi="黑体" w:eastAsia="黑体" w:cs="黑体"/>
          <w:b/>
          <w:color w:val="000000"/>
          <w:kern w:val="0"/>
          <w:sz w:val="28"/>
          <w:szCs w:val="28"/>
        </w:rPr>
        <w:t>名词解释</w:t>
      </w:r>
    </w:p>
    <w:p>
      <w:pPr>
        <w:autoSpaceDE w:val="0"/>
        <w:autoSpaceDN w:val="0"/>
        <w:adjustRightInd w:val="0"/>
        <w:spacing w:line="48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  附件</w:t>
      </w:r>
    </w:p>
    <w:p>
      <w:pPr>
        <w:spacing w:line="620" w:lineRule="exact"/>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岳阳市科技事务中心概况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jc w:val="left"/>
        <w:rPr>
          <w:rFonts w:asciiTheme="minorEastAsia" w:hAnsiTheme="minorEastAsia"/>
          <w:sz w:val="32"/>
          <w:szCs w:val="32"/>
        </w:rPr>
      </w:pPr>
      <w:r>
        <w:rPr>
          <w:rFonts w:hint="eastAsia" w:asciiTheme="minorEastAsia" w:hAnsiTheme="minorEastAsia"/>
          <w:sz w:val="32"/>
          <w:szCs w:val="32"/>
        </w:rPr>
        <w:t xml:space="preserve"> 为全市科技管理提供技术支撑服务，为社会提供公益性科技信息服务。</w:t>
      </w:r>
    </w:p>
    <w:p>
      <w:pPr>
        <w:widowControl/>
        <w:numPr>
          <w:ilvl w:val="0"/>
          <w:numId w:val="2"/>
        </w:numPr>
        <w:spacing w:line="600" w:lineRule="exact"/>
        <w:rPr>
          <w:rFonts w:ascii="黑体" w:hAnsi="黑体" w:eastAsia="黑体"/>
          <w:bCs/>
          <w:kern w:val="0"/>
          <w:sz w:val="32"/>
          <w:szCs w:val="32"/>
        </w:rPr>
      </w:pPr>
      <w:r>
        <w:rPr>
          <w:rFonts w:hint="eastAsia" w:ascii="黑体" w:hAnsi="黑体" w:eastAsia="黑体"/>
          <w:bCs/>
          <w:kern w:val="0"/>
          <w:sz w:val="32"/>
          <w:szCs w:val="32"/>
        </w:rPr>
        <w:t>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（一）内设机构设置。岳阳市科技事务中心内设机构包括：综合室、业务一室、业务二室。</w:t>
      </w:r>
    </w:p>
    <w:p>
      <w:pPr>
        <w:widowControl/>
        <w:numPr>
          <w:ilvl w:val="0"/>
          <w:numId w:val="3"/>
        </w:numPr>
        <w:spacing w:line="600" w:lineRule="exact"/>
        <w:rPr>
          <w:rFonts w:asciiTheme="minorEastAsia" w:hAnsiTheme="minorEastAsia"/>
          <w:bCs/>
          <w:kern w:val="0"/>
          <w:sz w:val="32"/>
          <w:szCs w:val="32"/>
        </w:rPr>
      </w:pPr>
      <w:r>
        <w:rPr>
          <w:rFonts w:hint="eastAsia" w:asciiTheme="minorEastAsia" w:hAnsiTheme="minorEastAsia"/>
          <w:bCs/>
          <w:kern w:val="0"/>
          <w:sz w:val="32"/>
          <w:szCs w:val="32"/>
        </w:rPr>
        <w:t>决算单位构成。岳阳市科技事务中心</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21年部门决算汇总公开单位构成包括：岳阳市科技事务中心本级。岳阳市科技事务中心为岳阳市科技局所属正科级公益一类事业单位，无下属单位或机构。</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Theme="minorEastAsia" w:hAnsiTheme="minorEastAsia"/>
          <w:sz w:val="32"/>
          <w:szCs w:val="32"/>
        </w:rPr>
      </w:pPr>
      <w:r>
        <w:rPr>
          <w:sz w:val="70"/>
          <w:szCs w:val="70"/>
        </w:rPr>
        <w:br w:type="page"/>
      </w: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2021年度收、支总计281.83万元。与上年相比，增加57.86万元，增长25.83%，主要是因为平台维护费增加；退休人员增加，退休费增多。</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2021年度收入合计257.24万元，其中：财政拨款收入257.24万元，占100%。</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2021年度支出合计258.87万元，其中：基本支出258.87万元，占100%。</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2021年度财政拨款收、支总计281.83万元，与上年相比，增加57.86万元，增长25.83%，主要是因为退休人员增加，退休费增多。</w:t>
      </w:r>
    </w:p>
    <w:p>
      <w:pPr>
        <w:pStyle w:val="10"/>
        <w:rPr>
          <w:rFonts w:hAnsi="黑体"/>
          <w:b/>
          <w:sz w:val="32"/>
          <w:szCs w:val="32"/>
        </w:rPr>
      </w:pPr>
      <w:r>
        <w:rPr>
          <w:rFonts w:hint="eastAsia" w:hAnsi="黑体"/>
          <w:b/>
          <w:sz w:val="32"/>
          <w:szCs w:val="32"/>
        </w:rPr>
        <w:t>五、一般公共预算财政拨款支出决算情况说明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（一）财政拨款支出决算总体情况</w:t>
      </w:r>
    </w:p>
    <w:p>
      <w:pPr>
        <w:pStyle w:val="10"/>
        <w:ind w:firstLine="800" w:firstLineChars="250"/>
        <w:rPr>
          <w:rFonts w:asciiTheme="minorEastAsia" w:hAnsiTheme="minorEastAsia" w:eastAsiaTheme="minorEastAsia"/>
          <w:i/>
          <w:iCs/>
          <w:sz w:val="32"/>
          <w:szCs w:val="32"/>
        </w:rPr>
      </w:pPr>
      <w:r>
        <w:rPr>
          <w:rFonts w:hint="eastAsia" w:asciiTheme="minorEastAsia" w:hAnsiTheme="minorEastAsia" w:eastAsiaTheme="minorEastAsia"/>
          <w:sz w:val="32"/>
          <w:szCs w:val="32"/>
        </w:rPr>
        <w:t>2021年度财政拨款支出258.87万元，占本年支出合计的100%，与上年相比，财政拨款支出增加59.49万元，增长29.84%，主要是因为退休人员增加，退休费增多，平台维护费增加。</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2021年度财政拨款支出258.87万元，主要用于以下方面：科学技术支出（类）支出258.87万元，占100%。</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2021年度财政拨款支出年初预算数为246.43万元，支出决算数为258.87万元，完成年初预算的105%，其中：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1、科学技术支出（类）科学技术管理事务（款）行政运行（项）。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年初预算为246.43万元，支出决算为258.87万元，完成年初预算的105%，决算数超过年初预算数的主要原因是：退休人员增多，退休费增加，平台维护费增加。</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2021年度财政拨款基本支出258.87万元，其中：人员经费233.6万元，占基本支出的90.24%,主要包括主要包括基本工资、津贴补贴、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奖金、伙食补助费、绩效工资、机关事业单位基本养老保险缴费、职业年金缴费、职工基本医疗保险缴费、其他社会保障缴费、住房公积金、医疗费、其他工资福利支出、退休费、抚恤金、生活补助</w:t>
      </w:r>
      <w:r>
        <w:rPr>
          <w:rFonts w:hint="eastAsia" w:asciiTheme="minorEastAsia" w:hAnsiTheme="minorEastAsia" w:eastAsiaTheme="minorEastAsia"/>
          <w:sz w:val="32"/>
          <w:szCs w:val="32"/>
        </w:rPr>
        <w:t>；公用经费25.27万元，占基本支出的9.76%，主要包括办公费、水费、电费、邮电费、差旅费、维修（护）费、会议费、培训费、公务接待费、劳务费、委托业务费、工会经费、福利费、其他交通费用、税金及附加费用、其他商品和服务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2021年度“三公”经费财政拨款支出预算为1万元，支出决算为0.28万元，完成预算的28%，其中：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w:t>
      </w:r>
      <w:r>
        <w:rPr>
          <w:rFonts w:hint="eastAsia" w:asciiTheme="minorEastAsia" w:hAnsiTheme="minorEastAsia" w:eastAsiaTheme="minorEastAsia"/>
          <w:sz w:val="32"/>
          <w:szCs w:val="32"/>
          <w:lang w:eastAsia="zh-CN"/>
        </w:rPr>
        <w:t>由于预算数为</w:t>
      </w:r>
      <w:r>
        <w:rPr>
          <w:rFonts w:hint="eastAsia" w:asciiTheme="minorEastAsia" w:hAnsiTheme="minorEastAsia" w:eastAsiaTheme="minorEastAsia"/>
          <w:sz w:val="32"/>
          <w:szCs w:val="32"/>
          <w:lang w:val="en-US" w:eastAsia="zh-CN"/>
        </w:rPr>
        <w:t>0，无法计算百分比</w:t>
      </w:r>
      <w:r>
        <w:rPr>
          <w:rFonts w:hint="eastAsia" w:asciiTheme="minorEastAsia" w:hAnsiTheme="minorEastAsia" w:eastAsiaTheme="minorEastAsia"/>
          <w:sz w:val="32"/>
          <w:szCs w:val="32"/>
        </w:rPr>
        <w:t>，决算数与预算数持平，与上年相比持平</w:t>
      </w:r>
      <w:r>
        <w:rPr>
          <w:rFonts w:hint="default" w:asciiTheme="minorEastAsia" w:hAnsiTheme="minorEastAsia" w:eastAsiaTheme="minorEastAsia"/>
          <w:sz w:val="32"/>
          <w:szCs w:val="32"/>
          <w:lang w:val="en"/>
        </w:rPr>
        <w:t>，持平原因为单位无因公出国（境）支出</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公务接待费支出预算为1万元，支出决算为0.28万元，完成预算的28%，决算数小于预算数的主要原因是厉行节约，与上年相比减少0.02万元，减少6%,减少的主要原因是厉行节约。</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公务用车购置费支出预算为0万元，支出决算为0万元，</w:t>
      </w:r>
      <w:r>
        <w:rPr>
          <w:rFonts w:hint="eastAsia" w:asciiTheme="minorEastAsia" w:hAnsiTheme="minorEastAsia" w:eastAsiaTheme="minorEastAsia"/>
          <w:sz w:val="32"/>
          <w:szCs w:val="32"/>
          <w:lang w:eastAsia="zh-CN"/>
        </w:rPr>
        <w:t>由于预算数为</w:t>
      </w:r>
      <w:r>
        <w:rPr>
          <w:rFonts w:hint="eastAsia" w:asciiTheme="minorEastAsia" w:hAnsiTheme="minorEastAsia" w:eastAsiaTheme="minorEastAsia"/>
          <w:sz w:val="32"/>
          <w:szCs w:val="32"/>
          <w:lang w:val="en-US" w:eastAsia="zh-CN"/>
        </w:rPr>
        <w:t>0，无法计算百分比</w:t>
      </w:r>
      <w:r>
        <w:rPr>
          <w:rFonts w:hint="eastAsia" w:asciiTheme="minorEastAsia" w:hAnsiTheme="minorEastAsia" w:eastAsiaTheme="minorEastAsia"/>
          <w:sz w:val="32"/>
          <w:szCs w:val="32"/>
        </w:rPr>
        <w:t>，决算数与预算数持平，与上年相比持平</w:t>
      </w:r>
      <w:r>
        <w:rPr>
          <w:rFonts w:hint="default" w:asciiTheme="minorEastAsia" w:hAnsiTheme="minorEastAsia" w:eastAsiaTheme="minorEastAsia"/>
          <w:sz w:val="32"/>
          <w:szCs w:val="32"/>
          <w:lang w:val="en"/>
        </w:rPr>
        <w:t>，持平原因为单位无公车</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公务用车运行维护费支出预算为0万元，支出决算为0万元，</w:t>
      </w:r>
      <w:r>
        <w:rPr>
          <w:rFonts w:hint="eastAsia" w:asciiTheme="minorEastAsia" w:hAnsiTheme="minorEastAsia" w:eastAsiaTheme="minorEastAsia"/>
          <w:sz w:val="32"/>
          <w:szCs w:val="32"/>
          <w:lang w:eastAsia="zh-CN"/>
        </w:rPr>
        <w:t>由于预算数为</w:t>
      </w:r>
      <w:r>
        <w:rPr>
          <w:rFonts w:hint="eastAsia" w:asciiTheme="minorEastAsia" w:hAnsiTheme="minorEastAsia" w:eastAsiaTheme="minorEastAsia"/>
          <w:sz w:val="32"/>
          <w:szCs w:val="32"/>
          <w:lang w:val="en-US" w:eastAsia="zh-CN"/>
        </w:rPr>
        <w:t>0，无法计算百分比</w:t>
      </w:r>
      <w:r>
        <w:rPr>
          <w:rFonts w:hint="eastAsia" w:asciiTheme="minorEastAsia" w:hAnsiTheme="minorEastAsia" w:eastAsiaTheme="minorEastAsia"/>
          <w:sz w:val="32"/>
          <w:szCs w:val="32"/>
        </w:rPr>
        <w:t>，决算数与预算数持平，与上年相比持平</w:t>
      </w:r>
      <w:r>
        <w:rPr>
          <w:rFonts w:hint="default" w:asciiTheme="minorEastAsia" w:hAnsiTheme="minorEastAsia" w:eastAsiaTheme="minorEastAsia"/>
          <w:sz w:val="32"/>
          <w:szCs w:val="32"/>
          <w:lang w:val="en"/>
        </w:rPr>
        <w:t>，持平</w:t>
      </w:r>
      <w:bookmarkStart w:id="0" w:name="_GoBack"/>
      <w:bookmarkEnd w:id="0"/>
      <w:r>
        <w:rPr>
          <w:rFonts w:hint="default" w:asciiTheme="minorEastAsia" w:hAnsiTheme="minorEastAsia" w:eastAsiaTheme="minorEastAsia"/>
          <w:sz w:val="32"/>
          <w:szCs w:val="32"/>
          <w:lang w:val="en"/>
        </w:rPr>
        <w:t>原因为单位无公车</w:t>
      </w:r>
      <w:r>
        <w:rPr>
          <w:rFonts w:hint="eastAsia" w:asciiTheme="minorEastAsia" w:hAnsiTheme="minorEastAsia" w:eastAsiaTheme="minorEastAsia"/>
          <w:sz w:val="32"/>
          <w:szCs w:val="32"/>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2021年度“三公”经费财政拨款支出决算中，公务接待费支出决算0.28万元，占100%,因公出国（境）费支出决算0万元，占0%,公务用车购置费及运行维护费支出决算0万元，占0%。其中：</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1、因公出国（境）费支出决算为0万元，全年安排因公出国（境）团组0个，累计0人次。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2、公务接待费支出决算为0.28万元，全年共接待来访团组3个、来宾25人次，主要是调研发生的接待支出。</w:t>
      </w:r>
    </w:p>
    <w:p>
      <w:pPr>
        <w:ind w:firstLine="800" w:firstLineChars="250"/>
        <w:rPr>
          <w:rFonts w:cs="黑体" w:asciiTheme="minorEastAsia" w:hAnsiTheme="minorEastAsia"/>
          <w:b/>
          <w:bCs/>
          <w:i/>
          <w:color w:val="FF0000"/>
          <w:kern w:val="0"/>
          <w:sz w:val="36"/>
          <w:szCs w:val="36"/>
        </w:rPr>
      </w:pPr>
      <w:r>
        <w:rPr>
          <w:rFonts w:hint="eastAsia" w:asciiTheme="minorEastAsia" w:hAnsiTheme="minorEastAsia"/>
          <w:sz w:val="32"/>
          <w:szCs w:val="32"/>
        </w:rPr>
        <w:t>3、公务用车购置费及运行维护费支出决算为0万元，其中：公务用车购置费0万元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公务用车运行维护费0万元，截止2021年12月31日，我单位开支财政拨款的公务用车保有量为0辆。</w:t>
      </w:r>
    </w:p>
    <w:p>
      <w:pPr>
        <w:pStyle w:val="10"/>
        <w:rPr>
          <w:rFonts w:hAnsi="黑体"/>
          <w:b/>
          <w:sz w:val="32"/>
          <w:szCs w:val="32"/>
        </w:rPr>
      </w:pPr>
      <w:r>
        <w:rPr>
          <w:rFonts w:hint="eastAsia" w:hAnsi="黑体"/>
          <w:b/>
          <w:sz w:val="32"/>
          <w:szCs w:val="32"/>
        </w:rPr>
        <w:t>八、政府性基金预算收入支出决算情况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2021年度本单位无政府性基金收支。</w:t>
      </w:r>
    </w:p>
    <w:p>
      <w:pPr>
        <w:pStyle w:val="10"/>
        <w:numPr>
          <w:ilvl w:val="0"/>
          <w:numId w:val="4"/>
        </w:numPr>
        <w:rPr>
          <w:rFonts w:hAnsi="黑体"/>
          <w:b/>
          <w:sz w:val="32"/>
          <w:szCs w:val="32"/>
        </w:rPr>
      </w:pPr>
      <w:r>
        <w:rPr>
          <w:rFonts w:hint="eastAsia" w:hAnsi="黑体"/>
          <w:b/>
          <w:sz w:val="32"/>
          <w:szCs w:val="32"/>
        </w:rPr>
        <w:t>国有资本经营预算财政拨款支出决算情况</w:t>
      </w:r>
    </w:p>
    <w:p>
      <w:pPr>
        <w:pStyle w:val="10"/>
        <w:ind w:firstLine="640" w:firstLineChars="200"/>
        <w:rPr>
          <w:rFonts w:hAnsi="黑体"/>
          <w:b/>
          <w:sz w:val="32"/>
          <w:szCs w:val="32"/>
        </w:rPr>
      </w:pPr>
      <w:r>
        <w:rPr>
          <w:rFonts w:hint="eastAsia" w:asciiTheme="minorEastAsia" w:hAnsiTheme="minorEastAsia" w:eastAsiaTheme="minorEastAsia"/>
          <w:sz w:val="32"/>
          <w:szCs w:val="32"/>
        </w:rPr>
        <w:t>2021年度本单位无国有资本经营预算财政拨款支出。</w:t>
      </w:r>
    </w:p>
    <w:p>
      <w:pPr>
        <w:pStyle w:val="10"/>
        <w:rPr>
          <w:rFonts w:hAnsi="黑体"/>
          <w:b/>
          <w:sz w:val="32"/>
          <w:szCs w:val="32"/>
        </w:rPr>
      </w:pPr>
      <w:r>
        <w:rPr>
          <w:rFonts w:hint="eastAsia" w:hAnsi="黑体"/>
          <w:b/>
          <w:sz w:val="32"/>
          <w:szCs w:val="32"/>
        </w:rPr>
        <w:t>十、机关运行经费支出说明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本部门2021年度机关运行经费支出25.27万元，比上年决算数增加8.41万元，增长49.88%。主要原因是：技术平台维护费增多。</w:t>
      </w:r>
    </w:p>
    <w:p>
      <w:pPr>
        <w:pStyle w:val="10"/>
        <w:rPr>
          <w:rFonts w:hAnsi="黑体"/>
          <w:b/>
          <w:sz w:val="32"/>
          <w:szCs w:val="32"/>
        </w:rPr>
      </w:pPr>
      <w:r>
        <w:rPr>
          <w:rFonts w:hint="eastAsia" w:hAnsi="黑体"/>
          <w:b/>
          <w:sz w:val="32"/>
          <w:szCs w:val="32"/>
        </w:rPr>
        <w:t>十一、一般性支出情况说明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2021年本部门开支会议费0.3万元，用于召开项目评审业务会议，人数12人，内容为承担科技成果转化项目评审会；开支培训费0万元；举办节庆、晚会、论坛、赛事活动，开支0万元。</w:t>
      </w:r>
    </w:p>
    <w:p>
      <w:pPr>
        <w:pStyle w:val="10"/>
        <w:rPr>
          <w:rFonts w:hAnsi="黑体"/>
          <w:b/>
          <w:sz w:val="32"/>
          <w:szCs w:val="32"/>
        </w:rPr>
      </w:pPr>
      <w:r>
        <w:rPr>
          <w:rFonts w:hint="eastAsia" w:hAnsi="黑体"/>
          <w:b/>
          <w:sz w:val="32"/>
          <w:szCs w:val="32"/>
        </w:rPr>
        <w:t>十二、政府采购支出说明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0.56万元，其中：政府采购货物支出0.56万元、政府采购工程支出0万元、政府采购服务支出0万元。授予中小企业合同金额0.56万元，占政府采购支出总额的100%，其中：授予小微企业合同金额0万元，占授予中小企业合同金额的0%；货物采购授予中小企业合同金额占货物支出金额的100%，工程采购授予中小企业合同金额占工程支出金额的0%，服务采购授予中小企业合同金额占服务支出金额的0%。</w:t>
      </w:r>
    </w:p>
    <w:p>
      <w:pPr>
        <w:pStyle w:val="10"/>
        <w:rPr>
          <w:rFonts w:hAnsi="黑体"/>
          <w:b/>
          <w:sz w:val="32"/>
          <w:szCs w:val="32"/>
        </w:rPr>
      </w:pPr>
      <w:r>
        <w:rPr>
          <w:rFonts w:hint="eastAsia" w:hAnsi="黑体"/>
          <w:b/>
          <w:sz w:val="32"/>
          <w:szCs w:val="32"/>
        </w:rPr>
        <w:t>十三、国有资产占用情况说明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单位共有车辆0辆，其中，主要领导干部用车0辆，机要通信用车0辆、应急保障用车0辆、执法执勤用车0辆、特种专业技术用车0辆、其他用车0辆；单位价值50万元以上通用设备0台；单位价值100万元以上专用设备0台。</w:t>
      </w:r>
    </w:p>
    <w:p>
      <w:pPr>
        <w:pStyle w:val="10"/>
        <w:rPr>
          <w:rFonts w:hAnsi="黑体"/>
          <w:b/>
          <w:sz w:val="32"/>
          <w:szCs w:val="32"/>
        </w:rPr>
      </w:pPr>
      <w:r>
        <w:rPr>
          <w:rFonts w:hint="eastAsia" w:hAnsi="黑体"/>
          <w:b/>
          <w:sz w:val="32"/>
          <w:szCs w:val="32"/>
        </w:rPr>
        <w:t>十四、2021年度预算绩效情况说明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年度一般公共预算项目支出全面开展绩效自评，其中，一级项目0个，二级项目0个，共涉及资金0万元，占一般公共预算项目支出总额的0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年度0个政府性基金预算项目支出开展绩效自评，共涉及资金0万元，占政府性基金预算项目支出总额的0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。组织对</w:t>
      </w:r>
      <w:r>
        <w:rPr>
          <w:rFonts w:cs="黑体" w:asciiTheme="minorEastAsia" w:hAnsiTheme="minorEastAsia"/>
          <w:color w:val="000000"/>
          <w:kern w:val="0"/>
          <w:sz w:val="32"/>
          <w:szCs w:val="32"/>
        </w:rPr>
        <w:t>2021</w:t>
      </w:r>
      <w:r>
        <w:rPr>
          <w:rFonts w:hint="eastAsia" w:cs="黑体" w:asciiTheme="minorEastAsia" w:hAnsiTheme="minorEastAsia"/>
          <w:color w:val="000000"/>
          <w:kern w:val="0"/>
          <w:sz w:val="32"/>
          <w:szCs w:val="32"/>
        </w:rPr>
        <w:t>年度0个国有资本经营预算项目支出开展绩效自评，共涉及资金0万元，占国有资本经营预算项目支出总额的0</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组织对0个项目开展了部门评价，涉及一般公共预算支出0万元，政府性基金预算支出0万元，国有资本经营预算支出0万元。</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岳阳市科技事务中心”1个单位开展整体支出绩效评价，涉及一般公共预算支出258.87万元，政府性基金预算支出0万元。从评价情况来看，按照中央、省、市的部署，积极推进预算绩效管理改革，以目标管理、第三方评价、信息公开等为着力点，认真贯彻落实市委、市政府的决策部署，高度重视绩效管理工作，将绩效管理融入预算编制、执行过程。2021年度部门整体支出绩效自评等级为“优”，绩效自评报告已按财政要求在我单位门户网站上公开（作为需随同部门决算一同公开的绩效信息见附件2）。</w:t>
      </w:r>
    </w:p>
    <w:p>
      <w:pPr>
        <w:autoSpaceDE w:val="0"/>
        <w:autoSpaceDN w:val="0"/>
        <w:adjustRightInd w:val="0"/>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（2）部门决算中项目绩效自评结果。</w:t>
      </w:r>
    </w:p>
    <w:p>
      <w:pPr>
        <w:autoSpaceDE w:val="0"/>
        <w:autoSpaceDN w:val="0"/>
        <w:adjustRightInd w:val="0"/>
        <w:ind w:firstLine="640" w:firstLineChars="200"/>
        <w:jc w:val="left"/>
        <w:rPr>
          <w:rFonts w:hint="default" w:cs="黑体" w:asciiTheme="minorEastAsia" w:hAnsiTheme="minorEastAsia"/>
          <w:color w:val="000000"/>
          <w:kern w:val="0"/>
          <w:sz w:val="32"/>
          <w:szCs w:val="32"/>
          <w:lang w:val="en"/>
        </w:rPr>
      </w:pPr>
      <w:r>
        <w:rPr>
          <w:rFonts w:hint="eastAsia" w:cs="黑体" w:asciiTheme="minorEastAsia" w:hAnsiTheme="minorEastAsia"/>
          <w:color w:val="000000"/>
          <w:kern w:val="0"/>
          <w:sz w:val="32"/>
          <w:szCs w:val="32"/>
        </w:rPr>
        <w:t xml:space="preserve">     </w:t>
      </w:r>
      <w:r>
        <w:rPr>
          <w:rFonts w:hint="default" w:cs="黑体" w:asciiTheme="minorEastAsia" w:hAnsiTheme="minorEastAsia"/>
          <w:color w:val="000000"/>
          <w:kern w:val="0"/>
          <w:sz w:val="32"/>
          <w:szCs w:val="32"/>
          <w:lang w:val="en"/>
        </w:rPr>
        <w:t>本单位无项目支出，故未展项目自评，无自评结果。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b/>
          <w:bCs/>
          <w:i/>
          <w:iCs/>
          <w:color w:val="FF0000"/>
          <w:kern w:val="0"/>
          <w:sz w:val="36"/>
          <w:szCs w:val="36"/>
        </w:rPr>
      </w:pPr>
      <w:r>
        <w:rPr>
          <w:rFonts w:hint="eastAsia" w:cs="黑体" w:asciiTheme="minorEastAsia" w:hAnsiTheme="minorEastAsia"/>
          <w:color w:val="000000"/>
          <w:kern w:val="0"/>
          <w:sz w:val="32"/>
          <w:szCs w:val="32"/>
        </w:rPr>
        <w:t xml:space="preserve">     无。</w:t>
      </w:r>
    </w:p>
    <w:p>
      <w:pPr>
        <w:autoSpaceDE w:val="0"/>
        <w:autoSpaceDN w:val="0"/>
        <w:adjustRightInd w:val="0"/>
        <w:ind w:firstLine="720" w:firstLineChars="200"/>
        <w:jc w:val="left"/>
        <w:rPr>
          <w:rFonts w:cs="黑体" w:asciiTheme="minorEastAsia" w:hAnsiTheme="minorEastAsia"/>
          <w:b/>
          <w:bCs/>
          <w:i/>
          <w:iCs/>
          <w:color w:val="FF0000"/>
          <w:kern w:val="0"/>
          <w:sz w:val="36"/>
          <w:szCs w:val="36"/>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cs="黑体" w:asciiTheme="minorEastAsia" w:hAnsiTheme="minorEastAsia"/>
          <w:color w:val="000000"/>
          <w:kern w:val="0"/>
          <w:sz w:val="32"/>
          <w:szCs w:val="32"/>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一、财政拨款收入指财政当年拨付的资金。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二、事业收入指事业单位开展专业业务活动及辅助活动所取得的收入。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三、经营收入指事业单位在专业业务活动及其辅助活动之外开展非独立核算经营活动取得的收入。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四、其他收入指除上述“财政拨款收入”，“事业收入”、“经营收入”等以外的收入。主要是利息收入等。</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六、年初结转和结余指以前年度尚未完成、结转到本年按有关规定继续使用的资金。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七、结余分配指事业单位按规定提取的职工福利基金、事业基金和缴纳的所得税。</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八、年末结转和结余指本年度或以前年度预算安排、因客观条件发生变化无法按原计划实施，需延迟到以后年度按有关规定继续使用的资金。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九、基本支出指为保障机构正常运转、完成日常工作任务而发生的人员支出和公用支出。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十、项目支出指在基本支出之外为完成特定行政任务和事业发展目标所发生的支出。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十一、经营支出指事业单位在专业业务活动及其辅助活动之外开展非独立核算经营活动发生的支出。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二、“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三、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both"/>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1、2021年部门决算公开表格</w:t>
      </w:r>
    </w:p>
    <w:p>
      <w:pPr>
        <w:ind w:firstLine="640" w:firstLineChars="200"/>
        <w:jc w:val="left"/>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2、2021年度部门整体支出绩效评价报告</w:t>
      </w:r>
    </w:p>
    <w:p>
      <w:pPr>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6A298D"/>
    <w:multiLevelType w:val="singleLevel"/>
    <w:tmpl w:val="B16A298D"/>
    <w:lvl w:ilvl="0" w:tentative="0">
      <w:start w:val="9"/>
      <w:numFmt w:val="chineseCounting"/>
      <w:suff w:val="nothing"/>
      <w:lvlText w:val="%1、"/>
      <w:lvlJc w:val="left"/>
      <w:rPr>
        <w:rFonts w:hint="eastAsia"/>
      </w:rPr>
    </w:lvl>
  </w:abstractNum>
  <w:abstractNum w:abstractNumId="1">
    <w:nsid w:val="BB3C4611"/>
    <w:multiLevelType w:val="singleLevel"/>
    <w:tmpl w:val="BB3C4611"/>
    <w:lvl w:ilvl="0" w:tentative="0">
      <w:start w:val="2"/>
      <w:numFmt w:val="chineseCounting"/>
      <w:suff w:val="nothing"/>
      <w:lvlText w:val="%1、"/>
      <w:lvlJc w:val="left"/>
      <w:rPr>
        <w:rFonts w:hint="eastAsia"/>
      </w:rPr>
    </w:lvl>
  </w:abstractNum>
  <w:abstractNum w:abstractNumId="2">
    <w:nsid w:val="FC5F40D2"/>
    <w:multiLevelType w:val="singleLevel"/>
    <w:tmpl w:val="FC5F40D2"/>
    <w:lvl w:ilvl="0" w:tentative="0">
      <w:start w:val="2"/>
      <w:numFmt w:val="chineseCounting"/>
      <w:suff w:val="nothing"/>
      <w:lvlText w:val="（%1）"/>
      <w:lvlJc w:val="left"/>
      <w:rPr>
        <w:rFonts w:hint="eastAsia"/>
      </w:r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229B"/>
    <w:rsid w:val="000273BD"/>
    <w:rsid w:val="000415B7"/>
    <w:rsid w:val="00041E3F"/>
    <w:rsid w:val="00055DAA"/>
    <w:rsid w:val="00061F7B"/>
    <w:rsid w:val="000658A3"/>
    <w:rsid w:val="00074155"/>
    <w:rsid w:val="00085B49"/>
    <w:rsid w:val="000873EF"/>
    <w:rsid w:val="000A3F69"/>
    <w:rsid w:val="000F4D7F"/>
    <w:rsid w:val="00103957"/>
    <w:rsid w:val="00124A1F"/>
    <w:rsid w:val="00152C6D"/>
    <w:rsid w:val="00162D39"/>
    <w:rsid w:val="001678BD"/>
    <w:rsid w:val="00172A27"/>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05E05"/>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2A0"/>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67EA3"/>
    <w:rsid w:val="00E8683C"/>
    <w:rsid w:val="00EA2B72"/>
    <w:rsid w:val="00F74360"/>
    <w:rsid w:val="00FB462F"/>
    <w:rsid w:val="00FE16FA"/>
    <w:rsid w:val="00FE328A"/>
    <w:rsid w:val="00FE6269"/>
    <w:rsid w:val="00FF5CD6"/>
    <w:rsid w:val="05633A58"/>
    <w:rsid w:val="06B411F0"/>
    <w:rsid w:val="087403E0"/>
    <w:rsid w:val="0BE56081"/>
    <w:rsid w:val="13662570"/>
    <w:rsid w:val="13BE003E"/>
    <w:rsid w:val="17A87124"/>
    <w:rsid w:val="1AF6E48A"/>
    <w:rsid w:val="1B7FF45B"/>
    <w:rsid w:val="1FF793EE"/>
    <w:rsid w:val="24741EFE"/>
    <w:rsid w:val="27DB542D"/>
    <w:rsid w:val="2BF6CEE5"/>
    <w:rsid w:val="366364DD"/>
    <w:rsid w:val="367FD083"/>
    <w:rsid w:val="370B6762"/>
    <w:rsid w:val="39DC144B"/>
    <w:rsid w:val="39F7B80F"/>
    <w:rsid w:val="3DEE191F"/>
    <w:rsid w:val="3F5A0E05"/>
    <w:rsid w:val="3F763EA2"/>
    <w:rsid w:val="3FBF3FA8"/>
    <w:rsid w:val="3FDC01FB"/>
    <w:rsid w:val="3FFFBB26"/>
    <w:rsid w:val="45F9639D"/>
    <w:rsid w:val="48ED43E7"/>
    <w:rsid w:val="4BFFC48A"/>
    <w:rsid w:val="4FEF8B7D"/>
    <w:rsid w:val="5BEF9FE0"/>
    <w:rsid w:val="5FAD6225"/>
    <w:rsid w:val="5FDFEF83"/>
    <w:rsid w:val="5FFD2E56"/>
    <w:rsid w:val="5FFEA780"/>
    <w:rsid w:val="60A907EA"/>
    <w:rsid w:val="6145544E"/>
    <w:rsid w:val="65CCFEE5"/>
    <w:rsid w:val="67FF7150"/>
    <w:rsid w:val="6ECEBA43"/>
    <w:rsid w:val="6FB256B9"/>
    <w:rsid w:val="6FF37EAB"/>
    <w:rsid w:val="6FFE2EA4"/>
    <w:rsid w:val="77FE27F5"/>
    <w:rsid w:val="79BF1BD7"/>
    <w:rsid w:val="7BBA48BF"/>
    <w:rsid w:val="7C7D6138"/>
    <w:rsid w:val="7CFBE59F"/>
    <w:rsid w:val="7CFE1C24"/>
    <w:rsid w:val="7EFFE6FD"/>
    <w:rsid w:val="7F7FA8C4"/>
    <w:rsid w:val="7F8378CB"/>
    <w:rsid w:val="7FDE04D9"/>
    <w:rsid w:val="7FF39F6D"/>
    <w:rsid w:val="7FFF3C8E"/>
    <w:rsid w:val="AB7B7D80"/>
    <w:rsid w:val="AF4F56F7"/>
    <w:rsid w:val="AFFF3BCD"/>
    <w:rsid w:val="B61E0498"/>
    <w:rsid w:val="B6F5EC72"/>
    <w:rsid w:val="BD7C2394"/>
    <w:rsid w:val="BFF725BE"/>
    <w:rsid w:val="C6D85C36"/>
    <w:rsid w:val="CF78B953"/>
    <w:rsid w:val="CFCD0381"/>
    <w:rsid w:val="CFEF3EEC"/>
    <w:rsid w:val="D35DCA82"/>
    <w:rsid w:val="DB2EAD6E"/>
    <w:rsid w:val="DEFFD9BB"/>
    <w:rsid w:val="DF8BA165"/>
    <w:rsid w:val="E7F75D41"/>
    <w:rsid w:val="E9A786F8"/>
    <w:rsid w:val="EF270D43"/>
    <w:rsid w:val="EF6D8435"/>
    <w:rsid w:val="F6BAB331"/>
    <w:rsid w:val="F753D191"/>
    <w:rsid w:val="F7FFBFFC"/>
    <w:rsid w:val="F97DFAE2"/>
    <w:rsid w:val="FBB6BBB3"/>
    <w:rsid w:val="FBF70613"/>
    <w:rsid w:val="FDBFB0EC"/>
    <w:rsid w:val="FF1AD6A0"/>
    <w:rsid w:val="FF2E409F"/>
    <w:rsid w:val="FF43E9D2"/>
    <w:rsid w:val="FF5FA032"/>
    <w:rsid w:val="FF6D0A11"/>
    <w:rsid w:val="FFD9FAF1"/>
    <w:rsid w:val="FFF59D0C"/>
    <w:rsid w:val="FFF72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675</Words>
  <Characters>3852</Characters>
  <Lines>32</Lines>
  <Paragraphs>9</Paragraphs>
  <TotalTime>0</TotalTime>
  <ScaleCrop>false</ScaleCrop>
  <LinksUpToDate>false</LinksUpToDate>
  <CharactersWithSpaces>4518</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2020-07-04T10:32:00Z</dcterms:created>
  <dc:creator>李航 null</dc:creator>
  <cp:lastModifiedBy>xjkp</cp:lastModifiedBy>
  <cp:lastPrinted>2022-09-21T09:16:00Z</cp:lastPrinted>
  <dcterms:modified xsi:type="dcterms:W3CDTF">2023-09-21T14:54:31Z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y fmtid="{D5CDD505-2E9C-101B-9397-08002B2CF9AE}" pid="3" name="ICV">
    <vt:lpwstr>C02081F76A1C414C807C3137DC2EA958</vt:lpwstr>
  </property>
</Properties>
</file>