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岳阳市科学技术局单位</w:t>
      </w:r>
      <w:r>
        <w:rPr>
          <w:rFonts w:hint="eastAsia"/>
          <w:sz w:val="84"/>
          <w:szCs w:val="84"/>
        </w:rPr>
        <w:t>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岳阳市科学技术局</w:t>
      </w:r>
      <w:r>
        <w:rPr>
          <w:rFonts w:hint="eastAsia"/>
          <w:b/>
          <w:sz w:val="28"/>
          <w:szCs w:val="28"/>
        </w:rPr>
        <w:t>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hAnsi="仿宋_GB2312"/>
          <w:b/>
          <w:sz w:val="28"/>
          <w:szCs w:val="28"/>
          <w:lang w:eastAsia="zh-CN"/>
        </w:rPr>
        <w:t>单位</w:t>
      </w:r>
      <w:r>
        <w:rPr>
          <w:rFonts w:hint="eastAsia" w:hAnsi="仿宋_GB2312"/>
          <w:b/>
          <w:sz w:val="28"/>
          <w:szCs w:val="28"/>
        </w:rPr>
        <w:t>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hAnsi="仿宋_GB2312"/>
          <w:b/>
          <w:sz w:val="28"/>
          <w:szCs w:val="28"/>
          <w:lang w:eastAsia="zh-CN"/>
        </w:rPr>
        <w:t>单位</w:t>
      </w:r>
      <w:r>
        <w:rPr>
          <w:rFonts w:hint="eastAsia" w:hAnsi="仿宋_GB2312"/>
          <w:b/>
          <w:sz w:val="28"/>
          <w:szCs w:val="28"/>
        </w:rPr>
        <w:t>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岳阳市科学技术局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hint="eastAsia" w:asciiTheme="minorEastAsia" w:hAnsiTheme="minorEastAsia"/>
          <w:sz w:val="32"/>
          <w:szCs w:val="32"/>
        </w:rPr>
      </w:pPr>
      <w:r>
        <w:rPr>
          <w:rFonts w:ascii="黑体" w:hAnsi="黑体" w:eastAsia="黑体"/>
          <w:sz w:val="32"/>
          <w:szCs w:val="32"/>
        </w:rPr>
        <w:t>部门职责</w:t>
      </w:r>
    </w:p>
    <w:p>
      <w:pPr>
        <w:pStyle w:val="10"/>
        <w:numPr>
          <w:ilvl w:val="0"/>
          <w:numId w:val="2"/>
        </w:numPr>
        <w:ind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pStyle w:val="10"/>
        <w:numPr>
          <w:ilvl w:val="0"/>
          <w:numId w:val="2"/>
        </w:numPr>
        <w:ind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牵头组织全市农村和社会发展领域的科技进步工作。组织拟订科技促进农村和社会发展的规划和政策。</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pStyle w:val="10"/>
        <w:numPr>
          <w:ilvl w:val="0"/>
          <w:numId w:val="2"/>
        </w:numPr>
        <w:ind w:left="0" w:leftChars="0" w:firstLine="640" w:firstLineChars="200"/>
        <w:jc w:val="left"/>
        <w:rPr>
          <w:rFonts w:hint="eastAsia" w:asciiTheme="minorEastAsia" w:hAnsiTheme="minorEastAsia"/>
          <w:sz w:val="32"/>
          <w:szCs w:val="32"/>
        </w:rPr>
      </w:pPr>
      <w:r>
        <w:rPr>
          <w:rFonts w:hint="eastAsia" w:asciiTheme="minorEastAsia" w:hAnsiTheme="minorEastAsia"/>
          <w:sz w:val="32"/>
          <w:szCs w:val="32"/>
        </w:rPr>
        <w:t>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（七）会同有关部门提出全市科技体制改革的政策和措施建议，推进全市创新体系建设；审核相关科研机构的组建和调整。</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八）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（九）拟订全市国际与区域科技合作与交流的规划、政策和措施，负责组织实施国际与区域科技合作计划，承办与国外政府间以及国际组织间科技合作和交流事宜。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（十）归口管理全市引进国（境）外智力工作。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（十一）负责全市科学普及工作，拟订全市科普工作规划和相关政策，组织实施科普计划，负责市级科普基地和示范基地认定，进行督促检查，推动科普工作发展。</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（十二）负责全市科技人才有关工作。会同有关部门拟订科技人才队伍建设规划，提出相关政策建议；承担全市科技人才队伍建设和科技创新团队建设有关工作。</w:t>
      </w:r>
    </w:p>
    <w:p>
      <w:pPr>
        <w:keepNext/>
        <w:keepLines/>
        <w:shd w:val="clear" w:color="auto" w:fill="FFFFFF"/>
        <w:spacing w:beforeLines="0" w:afterLines="0"/>
        <w:ind w:firstLine="640"/>
        <w:jc w:val="left"/>
        <w:rPr>
          <w:rFonts w:hint="eastAsia" w:asciiTheme="minorEastAsia" w:hAnsiTheme="minorEastAsia"/>
          <w:sz w:val="32"/>
          <w:szCs w:val="32"/>
        </w:rPr>
      </w:pPr>
      <w:r>
        <w:rPr>
          <w:rFonts w:hint="eastAsia" w:asciiTheme="minorEastAsia" w:hAnsiTheme="minorEastAsia"/>
          <w:sz w:val="32"/>
          <w:szCs w:val="32"/>
        </w:rPr>
        <w:t>（十三）负责全市科技奖励、科技保密、科技评估、科技统计、科技信息管理等工作。</w:t>
      </w:r>
    </w:p>
    <w:p>
      <w:pPr>
        <w:keepNext/>
        <w:keepLines/>
        <w:shd w:val="clear" w:color="auto" w:fill="FFFFFF"/>
        <w:spacing w:beforeLines="0" w:afterLines="0"/>
        <w:ind w:firstLine="640"/>
        <w:jc w:val="left"/>
        <w:rPr>
          <w:rFonts w:asciiTheme="minorEastAsia" w:hAnsiTheme="minorEastAsia"/>
          <w:i/>
          <w:iCs/>
          <w:sz w:val="32"/>
          <w:szCs w:val="32"/>
        </w:rPr>
      </w:pPr>
      <w:r>
        <w:rPr>
          <w:rFonts w:hint="eastAsia" w:asciiTheme="minorEastAsia" w:hAnsiTheme="minorEastAsia"/>
          <w:sz w:val="32"/>
          <w:szCs w:val="32"/>
        </w:rPr>
        <w:t>（十四）承办市委、市人民政府交办其他事项。</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岳阳市科技局内设机构包括：办公室、战略规划与资源配置科、高新技术发展及产业化科、农村科技科、社会发展科技科、成果转化与区域创新科、外国专家服务科、人事科、机关党委、机关纪委、机关工会</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 xml:space="preserve">离退休人员管理服务科。          </w:t>
      </w:r>
    </w:p>
    <w:p>
      <w:pPr>
        <w:widowControl/>
        <w:numPr>
          <w:ilvl w:val="0"/>
          <w:numId w:val="0"/>
        </w:numPr>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（二）决算单位构成。岳阳市科技局202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年度</w:t>
      </w:r>
      <w:r>
        <w:rPr>
          <w:rFonts w:hint="eastAsia" w:asciiTheme="minorEastAsia" w:hAnsiTheme="minorEastAsia"/>
          <w:bCs/>
          <w:kern w:val="0"/>
          <w:sz w:val="32"/>
          <w:szCs w:val="32"/>
          <w:lang w:eastAsia="zh-CN"/>
        </w:rPr>
        <w:t>单位</w:t>
      </w:r>
      <w:r>
        <w:rPr>
          <w:rFonts w:hint="eastAsia" w:asciiTheme="minorEastAsia" w:hAnsiTheme="minorEastAsia"/>
          <w:bCs/>
          <w:kern w:val="0"/>
          <w:sz w:val="32"/>
          <w:szCs w:val="32"/>
        </w:rPr>
        <w:t>决算公开单位构成包括：岳阳市科技局本级</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不包含下属单位</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w:t>
      </w:r>
      <w:r>
        <w:rPr>
          <w:rFonts w:hint="eastAsia"/>
          <w:sz w:val="70"/>
          <w:szCs w:val="70"/>
          <w:lang w:eastAsia="zh-CN"/>
        </w:rPr>
        <w:t>单位</w:t>
      </w:r>
      <w:r>
        <w:rPr>
          <w:rFonts w:hint="eastAsia"/>
          <w:sz w:val="70"/>
          <w:szCs w:val="70"/>
        </w:rPr>
        <w:t>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2021年度收、支总计874.61万元。与上年相比，减少</w:t>
      </w:r>
      <w:r>
        <w:rPr>
          <w:rFonts w:hint="eastAsia" w:asciiTheme="minorEastAsia" w:hAnsiTheme="minorEastAsia" w:eastAsiaTheme="minorEastAsia"/>
          <w:sz w:val="32"/>
          <w:szCs w:val="32"/>
          <w:lang w:val="en-US" w:eastAsia="zh-CN"/>
        </w:rPr>
        <w:t>201.21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18.70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人员减少、</w:t>
      </w:r>
      <w:r>
        <w:rPr>
          <w:rFonts w:hint="eastAsia" w:asciiTheme="minorEastAsia" w:hAnsiTheme="minorEastAsia" w:eastAsiaTheme="minorEastAsia"/>
          <w:sz w:val="32"/>
          <w:szCs w:val="32"/>
        </w:rPr>
        <w:t>积极贯彻落实中央关于厉行节约的要求</w:t>
      </w:r>
      <w:r>
        <w:rPr>
          <w:rFonts w:hint="eastAsia" w:asciiTheme="minorEastAsia" w:hAnsiTheme="minorEastAsia" w:eastAsiaTheme="minorEastAsia"/>
          <w:sz w:val="32"/>
          <w:szCs w:val="32"/>
          <w:lang w:eastAsia="zh-CN"/>
        </w:rPr>
        <w:t>，资金使用效率有所提高。</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2021年度收入合计712.48万元，其中：财政拨款收入</w:t>
      </w:r>
      <w:r>
        <w:rPr>
          <w:rFonts w:hint="eastAsia" w:asciiTheme="minorEastAsia" w:hAnsiTheme="minorEastAsia" w:eastAsiaTheme="minorEastAsia"/>
          <w:sz w:val="32"/>
          <w:szCs w:val="32"/>
          <w:lang w:val="en-US" w:eastAsia="zh-CN"/>
        </w:rPr>
        <w:t>675.42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94.80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37.06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2021年度支出合计832.45万元，其中：基本支出</w:t>
      </w:r>
      <w:r>
        <w:rPr>
          <w:rFonts w:hint="eastAsia" w:asciiTheme="minorEastAsia" w:hAnsiTheme="minorEastAsia" w:eastAsiaTheme="minorEastAsia"/>
          <w:sz w:val="32"/>
          <w:szCs w:val="32"/>
          <w:lang w:val="en-US" w:eastAsia="zh-CN"/>
        </w:rPr>
        <w:t>569.67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68.43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262.78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31.57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806.86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167.05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17.15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人员较上年减少，</w:t>
      </w:r>
      <w:r>
        <w:rPr>
          <w:rFonts w:hint="eastAsia" w:asciiTheme="minorEastAsia" w:hAnsiTheme="minorEastAsia" w:eastAsiaTheme="minorEastAsia"/>
          <w:sz w:val="32"/>
          <w:szCs w:val="32"/>
        </w:rPr>
        <w:t>财政拨款</w:t>
      </w:r>
      <w:r>
        <w:rPr>
          <w:rFonts w:hint="eastAsia" w:asciiTheme="minorEastAsia" w:hAnsiTheme="minorEastAsia" w:eastAsiaTheme="minorEastAsia"/>
          <w:sz w:val="32"/>
          <w:szCs w:val="32"/>
          <w:lang w:eastAsia="zh-CN"/>
        </w:rPr>
        <w:t>经费减少。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805.42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96.75</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36.78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人员较上年减少，人员支出减少，</w:t>
      </w:r>
      <w:r>
        <w:rPr>
          <w:rFonts w:hint="eastAsia" w:asciiTheme="minorEastAsia" w:hAnsiTheme="minorEastAsia" w:eastAsiaTheme="minorEastAsia"/>
          <w:sz w:val="32"/>
          <w:szCs w:val="32"/>
        </w:rPr>
        <w:t>积极贯彻落实中央关于厉行节约的要求</w:t>
      </w:r>
      <w:r>
        <w:rPr>
          <w:rFonts w:hint="eastAsia" w:asciiTheme="minorEastAsia" w:hAnsiTheme="minorEastAsia" w:eastAsiaTheme="minorEastAsia"/>
          <w:sz w:val="32"/>
          <w:szCs w:val="32"/>
          <w:lang w:eastAsia="zh-CN"/>
        </w:rPr>
        <w:t>，减少开支。</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bookmarkStart w:id="0" w:name="_GoBack"/>
      <w:bookmarkEnd w:id="0"/>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805.42</w:t>
      </w:r>
      <w:r>
        <w:rPr>
          <w:rFonts w:hint="eastAsia" w:asciiTheme="minorEastAsia" w:hAnsiTheme="minorEastAsia" w:eastAsiaTheme="minorEastAsia"/>
          <w:sz w:val="32"/>
          <w:szCs w:val="32"/>
        </w:rPr>
        <w:t>万元，主要用于以下方面：科学技术支出</w:t>
      </w:r>
      <w:r>
        <w:rPr>
          <w:rFonts w:hint="eastAsia" w:asciiTheme="minorEastAsia" w:hAnsiTheme="minorEastAsia" w:eastAsiaTheme="minorEastAsia"/>
          <w:sz w:val="32"/>
          <w:szCs w:val="32"/>
          <w:lang w:val="en-US" w:eastAsia="zh-CN"/>
        </w:rPr>
        <w:t>742.81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92.23</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47.27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5.87</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2021年度财政拨款支出年初预算数为376.07万元，支出决算数为</w:t>
      </w:r>
      <w:r>
        <w:rPr>
          <w:rFonts w:hint="eastAsia" w:asciiTheme="minorEastAsia" w:hAnsiTheme="minorEastAsia" w:eastAsiaTheme="minorEastAsia"/>
          <w:sz w:val="32"/>
          <w:szCs w:val="32"/>
          <w:lang w:val="en-US" w:eastAsia="zh-CN"/>
        </w:rPr>
        <w:t>805.42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214.17</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1、科学技术（类）科学技术管理事务（款）行政运行（项）。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210.03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269.54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128.33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年初工资进行了调整。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2、科学技术（类）科学技术管理事务（款）一般行政管理事务（项）。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190.49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%，决算数大于年初预算数的主要原因是：上年项目经费略有结余。</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科技条件与服务</w:t>
      </w:r>
      <w:r>
        <w:rPr>
          <w:rFonts w:hint="eastAsia" w:asciiTheme="minorEastAsia" w:hAnsiTheme="minorEastAsia" w:eastAsiaTheme="minorEastAsia"/>
          <w:sz w:val="32"/>
          <w:szCs w:val="32"/>
        </w:rPr>
        <w:t>（款）其他</w:t>
      </w:r>
      <w:r>
        <w:rPr>
          <w:rFonts w:hint="eastAsia" w:asciiTheme="minorEastAsia" w:hAnsiTheme="minorEastAsia" w:eastAsiaTheme="minorEastAsia"/>
          <w:sz w:val="32"/>
          <w:szCs w:val="32"/>
          <w:lang w:eastAsia="zh-CN"/>
        </w:rPr>
        <w:t>科技条件与服务</w:t>
      </w:r>
      <w:r>
        <w:rPr>
          <w:rFonts w:hint="eastAsia" w:asciiTheme="minorEastAsia" w:hAnsiTheme="minorEastAsia" w:eastAsiaTheme="minorEastAsia"/>
          <w:sz w:val="32"/>
          <w:szCs w:val="32"/>
        </w:rPr>
        <w:t>支出（项）。</w:t>
      </w:r>
    </w:p>
    <w:p>
      <w:pPr>
        <w:pStyle w:val="9"/>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科技交流与合作</w:t>
      </w:r>
      <w:r>
        <w:rPr>
          <w:rFonts w:hint="eastAsia" w:asciiTheme="minorEastAsia" w:hAnsiTheme="minorEastAsia" w:eastAsiaTheme="minorEastAsia"/>
          <w:sz w:val="32"/>
          <w:szCs w:val="32"/>
        </w:rPr>
        <w:t>（款）其他</w:t>
      </w:r>
      <w:r>
        <w:rPr>
          <w:rFonts w:hint="eastAsia" w:asciiTheme="minorEastAsia" w:hAnsiTheme="minorEastAsia" w:eastAsiaTheme="minorEastAsia"/>
          <w:sz w:val="32"/>
          <w:szCs w:val="32"/>
          <w:lang w:eastAsia="zh-CN"/>
        </w:rPr>
        <w:t>科技交流与合作</w:t>
      </w:r>
      <w:r>
        <w:rPr>
          <w:rFonts w:hint="eastAsia" w:asciiTheme="minorEastAsia" w:hAnsiTheme="minorEastAsia" w:eastAsiaTheme="minorEastAsia"/>
          <w:sz w:val="32"/>
          <w:szCs w:val="32"/>
        </w:rPr>
        <w:t>支出（项）。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科学技术（类）</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271.98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%，决算数大于年初预算数的主要原因是：单位临时承担的政府工作经费没有纳入年初预算。</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行政单位离退休</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33.12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其他行政事业单位养老支出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%，决算数大于年初预算数的主要原因是：上年项目经费略有结余。</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社会保障和就业支出（类）残疾人事业</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其他残疾人事业支出</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卫生健康支出（类）行政事业单位医疗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9"/>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相同。</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542.64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522.64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96.31</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%，与上年相比减少0万元，减少0%，20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年度和202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年度都没有因公出国（境）事项。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48.67</w:t>
      </w:r>
      <w:r>
        <w:rPr>
          <w:rFonts w:hint="eastAsia" w:asciiTheme="minorEastAsia" w:hAnsiTheme="minorEastAsia" w:eastAsiaTheme="minorEastAsia"/>
          <w:sz w:val="32"/>
          <w:szCs w:val="32"/>
        </w:rPr>
        <w:t>%，决算数小于预算数的主要原因是认真贯彻落实中央“八项规定”精神和厉行节约要求，从严控制公务接待费开支，与上年相比减少0.44万元，减少</w:t>
      </w:r>
      <w:r>
        <w:rPr>
          <w:rFonts w:hint="eastAsia" w:asciiTheme="minorEastAsia" w:hAnsiTheme="minorEastAsia" w:eastAsiaTheme="minorEastAsia"/>
          <w:sz w:val="32"/>
          <w:szCs w:val="32"/>
          <w:lang w:val="en-US" w:eastAsia="zh-CN"/>
        </w:rPr>
        <w:t>23.16</w:t>
      </w:r>
      <w:r>
        <w:rPr>
          <w:rFonts w:hint="eastAsia" w:asciiTheme="minorEastAsia" w:hAnsiTheme="minorEastAsia" w:eastAsiaTheme="minorEastAsia"/>
          <w:sz w:val="32"/>
          <w:szCs w:val="32"/>
        </w:rPr>
        <w:t>%，减少的主要原因是积极贯彻落实中央关于厉行节约的要求，从严控制公务接待行为。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%，决算数大于小于预算数的主要原因是</w:t>
      </w:r>
      <w:r>
        <w:rPr>
          <w:rFonts w:hint="eastAsia" w:asciiTheme="minorEastAsia" w:hAnsiTheme="minorEastAsia" w:eastAsiaTheme="minorEastAsia"/>
          <w:sz w:val="32"/>
          <w:szCs w:val="32"/>
          <w:lang w:eastAsia="zh-CN"/>
        </w:rPr>
        <w:t>今年未购置公务用车。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%，决算数小于预算数的主要原因是贯彻落实中央公务用车制度改革精神，公务用车数量减少和部分公务用车停驶，与上年相</w:t>
      </w:r>
      <w:r>
        <w:rPr>
          <w:rFonts w:hint="eastAsia" w:asciiTheme="minorEastAsia" w:hAnsiTheme="minorEastAsia" w:eastAsiaTheme="minorEastAsia"/>
          <w:sz w:val="32"/>
          <w:szCs w:val="32"/>
          <w:lang w:eastAsia="zh-CN"/>
        </w:rPr>
        <w:t>同</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开支内容</w:t>
      </w:r>
      <w:r>
        <w:rPr>
          <w:rFonts w:hint="eastAsia" w:asciiTheme="minorEastAsia" w:hAnsiTheme="minorEastAsia" w:eastAsiaTheme="minorEastAsia"/>
          <w:sz w:val="32"/>
          <w:szCs w:val="32"/>
          <w:lang w:eastAsia="zh-CN"/>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1.46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人次，主要是与相关单位交流工作情况及接受相关部门检查指导工作发生的接待支出。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0.12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0.12</w:t>
      </w:r>
      <w:r>
        <w:rPr>
          <w:rFonts w:hint="eastAsia" w:asciiTheme="minorEastAsia" w:hAnsiTheme="minorEastAsia"/>
          <w:sz w:val="32"/>
          <w:szCs w:val="32"/>
        </w:rPr>
        <w:t>万元，主要是开展市内跨县、区、场检查、调研业务所需过桥过路费及维修费等支出，截止2021年12月31日，我单位开支财政拨款的公务用车保有量为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年度本单位无政府性基金收支。</w:t>
      </w:r>
    </w:p>
    <w:p>
      <w:pPr>
        <w:pStyle w:val="9"/>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年度本单位无国有资本经营预算财政拨款支出。</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2021年度机关运行经费支出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17.26</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%。主要原因是：积极贯彻落实中央关于厉行节约的要求</w:t>
      </w:r>
      <w:r>
        <w:rPr>
          <w:rFonts w:hint="eastAsia" w:asciiTheme="minorEastAsia" w:hAnsiTheme="minorEastAsia" w:eastAsiaTheme="minorEastAsia"/>
          <w:sz w:val="32"/>
          <w:szCs w:val="32"/>
          <w:lang w:eastAsia="zh-CN"/>
        </w:rPr>
        <w:t>，减少开支。</w:t>
      </w:r>
    </w:p>
    <w:p>
      <w:pPr>
        <w:pStyle w:val="9"/>
        <w:rPr>
          <w:rFonts w:hAnsi="黑体"/>
          <w:b/>
          <w:sz w:val="32"/>
          <w:szCs w:val="32"/>
        </w:rPr>
      </w:pPr>
      <w:r>
        <w:rPr>
          <w:rFonts w:hint="eastAsia" w:hAnsi="黑体"/>
          <w:b/>
          <w:sz w:val="32"/>
          <w:szCs w:val="32"/>
        </w:rPr>
        <w:t>十一、一般性支出情况说明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万元，用于召开全市科技绩效考核工作调度会议、召开科技活动周启动仪式暨全市科技工作会议（三类会议），人数</w:t>
      </w:r>
      <w:r>
        <w:rPr>
          <w:rFonts w:hint="eastAsia" w:asciiTheme="minorEastAsia" w:hAnsiTheme="minorEastAsia" w:eastAsiaTheme="minorEastAsia"/>
          <w:sz w:val="32"/>
          <w:szCs w:val="32"/>
          <w:lang w:val="en-US" w:eastAsia="zh-CN"/>
        </w:rPr>
        <w:t>805</w:t>
      </w:r>
      <w:r>
        <w:rPr>
          <w:rFonts w:hint="eastAsia" w:asciiTheme="minorEastAsia" w:hAnsiTheme="minorEastAsia" w:eastAsiaTheme="minorEastAsia"/>
          <w:sz w:val="32"/>
          <w:szCs w:val="32"/>
        </w:rPr>
        <w:t xml:space="preserve"> 人，内容为对全市科技绩效考核开展情况进行汇报，分析各自存在的问题差距、以“科技强国、科普惠民”为主题，进一步使科技活动重心下移、服务基层；开支培训费</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万元，用于开展科创板上市培训、高校科研院所奖补培训、高新技术企业认定培训、保密工作培训，人数</w:t>
      </w:r>
      <w:r>
        <w:rPr>
          <w:rFonts w:hint="eastAsia" w:asciiTheme="minorEastAsia" w:hAnsiTheme="minorEastAsia" w:eastAsiaTheme="minorEastAsia"/>
          <w:sz w:val="32"/>
          <w:szCs w:val="32"/>
          <w:lang w:val="en-US" w:eastAsia="zh-CN"/>
        </w:rPr>
        <w:t>298</w:t>
      </w:r>
      <w:r>
        <w:rPr>
          <w:rFonts w:hint="eastAsia" w:asciiTheme="minorEastAsia" w:hAnsiTheme="minorEastAsia" w:eastAsiaTheme="minorEastAsia"/>
          <w:sz w:val="32"/>
          <w:szCs w:val="32"/>
        </w:rPr>
        <w:t>人，内容为对科创板定位及基础制度建设进行培训、20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年高校科研院所奖补申报进行培训、202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年高企认定优惠政策、保密工作进行培训人数</w:t>
      </w:r>
      <w:r>
        <w:rPr>
          <w:rFonts w:hint="eastAsia" w:asciiTheme="minorEastAsia" w:hAnsiTheme="minorEastAsia" w:eastAsiaTheme="minorEastAsia"/>
          <w:sz w:val="32"/>
          <w:szCs w:val="32"/>
          <w:lang w:val="en-US" w:eastAsia="zh-CN"/>
        </w:rPr>
        <w:t>302</w:t>
      </w:r>
      <w:r>
        <w:rPr>
          <w:rFonts w:hint="eastAsia" w:asciiTheme="minorEastAsia" w:hAnsiTheme="minorEastAsia" w:eastAsiaTheme="minorEastAsia"/>
          <w:sz w:val="32"/>
          <w:szCs w:val="32"/>
        </w:rPr>
        <w:t>人，内容为对科创板定位及基础制度建设进行培训、20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年高校科研院所奖补申报进行培训、202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年高企认定优惠政策、保密工作进行培训；举办节庆、晚会、论坛、赛事等活动，开支为0万元。</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282.78</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我单位高度重视绩效评价工作，积极组织，成立了以办公室牵头，财务具体实施，其他业务科室配合完成的绩效评价工作小组。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自评过程中，我单位对部门年度总预算收支情况及财政预算收支情况、整体支出管理及使用情况、整体支出主要绩效等方面对各项支出使用绩效进行评价。从经济性、效率性和有效性三个方面对预算配置、执行、管理和资产管理等绩效目标完成情况进行综合分析。</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eastAsiaTheme="minorEastAsia"/>
          <w:b/>
          <w:bCs/>
          <w:i/>
          <w:iCs/>
          <w:color w:val="FF0000"/>
          <w:kern w:val="0"/>
          <w:sz w:val="36"/>
          <w:szCs w:val="36"/>
          <w:lang w:eastAsia="zh-CN"/>
        </w:rPr>
      </w:pPr>
      <w:r>
        <w:rPr>
          <w:rFonts w:hint="eastAsia" w:cs="黑体" w:asciiTheme="minorEastAsia" w:hAnsiTheme="minorEastAsia"/>
          <w:color w:val="000000"/>
          <w:kern w:val="0"/>
          <w:sz w:val="32"/>
          <w:szCs w:val="32"/>
        </w:rPr>
        <w:t>按照中央、省、市的部署，积极推进预算绩效管理改革，以目标管理、第三方评价、信息公开等为着力点，认真贯彻落实市委、市政府的决策部署，高度重视绩效管理工作，将绩效管理融入预算编制、执行过程。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年度部门整体支出绩效自评等级为“优”，绩效自评报告已按财政要求在我单位门户网站上公开（作为需随同部门决算一同公开的绩效信息见附件）</w:t>
      </w:r>
    </w:p>
    <w:p>
      <w:pPr>
        <w:pStyle w:val="9"/>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三、财政拨款收入指财政当年拨付的资金。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、事业收入指事业单位开展专业业务活动及辅助活动所取得的收入。</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、经营收入指事业单位在专业业务活动及其辅助活动之外开展非独立核算经营活动取得的收入。</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、其他收入指除上述“财政拨款收入”，“事业收入”、“经营收入”等以外的收入。主要是利息收入等。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八</w:t>
      </w:r>
      <w:r>
        <w:rPr>
          <w:rFonts w:hint="eastAsia" w:cs="黑体" w:asciiTheme="minorEastAsia" w:hAnsiTheme="minorEastAsia"/>
          <w:color w:val="000000"/>
          <w:kern w:val="0"/>
          <w:sz w:val="32"/>
          <w:szCs w:val="32"/>
        </w:rPr>
        <w:t>、年初结转和结余指以前年度尚未完成、结转到本年按有关规定继续使用的资金。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九</w:t>
      </w:r>
      <w:r>
        <w:rPr>
          <w:rFonts w:hint="eastAsia" w:cs="黑体" w:asciiTheme="minorEastAsia" w:hAnsiTheme="minorEastAsia"/>
          <w:color w:val="000000"/>
          <w:kern w:val="0"/>
          <w:sz w:val="32"/>
          <w:szCs w:val="32"/>
        </w:rPr>
        <w:t>、结余分配指事业单位按规定提取的职工福利基金、事业基金和缴纳的所得税。</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十</w:t>
      </w:r>
      <w:r>
        <w:rPr>
          <w:rFonts w:hint="eastAsia" w:cs="黑体" w:asciiTheme="minorEastAsia" w:hAnsiTheme="minorEastAsia"/>
          <w:color w:val="000000"/>
          <w:kern w:val="0"/>
          <w:sz w:val="32"/>
          <w:szCs w:val="32"/>
        </w:rPr>
        <w:t>、年末结转和结余指本年度或以前年度预算安排、因客观条件发生变化无法按原计划实施，需延迟到以后年度按有关规定继续使用的资金。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十一</w:t>
      </w:r>
      <w:r>
        <w:rPr>
          <w:rFonts w:hint="eastAsia" w:cs="黑体" w:asciiTheme="minorEastAsia" w:hAnsiTheme="minorEastAsia"/>
          <w:color w:val="000000"/>
          <w:kern w:val="0"/>
          <w:sz w:val="32"/>
          <w:szCs w:val="32"/>
        </w:rPr>
        <w:t>、基本支出指为保障机构正常运转、完成日常工作任务而发生的人员支出和公用支出。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w:t>
      </w:r>
      <w:r>
        <w:rPr>
          <w:rFonts w:hint="eastAsia" w:cs="黑体" w:asciiTheme="minorEastAsia" w:hAnsiTheme="minorEastAsia"/>
          <w:color w:val="000000"/>
          <w:kern w:val="0"/>
          <w:sz w:val="32"/>
          <w:szCs w:val="32"/>
          <w:lang w:eastAsia="zh-CN"/>
        </w:rPr>
        <w:t>二</w:t>
      </w:r>
      <w:r>
        <w:rPr>
          <w:rFonts w:hint="eastAsia" w:cs="黑体" w:asciiTheme="minorEastAsia" w:hAnsiTheme="minorEastAsia"/>
          <w:color w:val="000000"/>
          <w:kern w:val="0"/>
          <w:sz w:val="32"/>
          <w:szCs w:val="32"/>
        </w:rPr>
        <w:t>、项目支出指在基本支出之外为完成特定行政任务和事业发展目标所发生的支出。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w:t>
      </w: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、经营支出指事业单位在专业业务活动及其辅助活动之外开展非独立核算经营活动发生的支出。</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05A547A7"/>
    <w:multiLevelType w:val="singleLevel"/>
    <w:tmpl w:val="05A547A7"/>
    <w:lvl w:ilvl="0" w:tentative="0">
      <w:start w:val="3"/>
      <w:numFmt w:val="decimal"/>
      <w:suff w:val="nothing"/>
      <w:lvlText w:val="%1、"/>
      <w:lvlJc w:val="left"/>
    </w:lvl>
  </w:abstractNum>
  <w:abstractNum w:abstractNumId="2">
    <w:nsid w:val="07838C94"/>
    <w:multiLevelType w:val="singleLevel"/>
    <w:tmpl w:val="07838C94"/>
    <w:lvl w:ilvl="0" w:tentative="0">
      <w:start w:val="1"/>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3C44F5"/>
    <w:rsid w:val="029727F1"/>
    <w:rsid w:val="02A140C7"/>
    <w:rsid w:val="05633A58"/>
    <w:rsid w:val="06B411F0"/>
    <w:rsid w:val="087403E0"/>
    <w:rsid w:val="0BE56081"/>
    <w:rsid w:val="0EE90DAF"/>
    <w:rsid w:val="10E31B6C"/>
    <w:rsid w:val="12704829"/>
    <w:rsid w:val="13BE003E"/>
    <w:rsid w:val="14930553"/>
    <w:rsid w:val="17A87124"/>
    <w:rsid w:val="1C775948"/>
    <w:rsid w:val="209E0D4A"/>
    <w:rsid w:val="23224AC7"/>
    <w:rsid w:val="2553682B"/>
    <w:rsid w:val="27DB542D"/>
    <w:rsid w:val="29120F71"/>
    <w:rsid w:val="3022267B"/>
    <w:rsid w:val="30407610"/>
    <w:rsid w:val="313119FC"/>
    <w:rsid w:val="315E0379"/>
    <w:rsid w:val="321269C3"/>
    <w:rsid w:val="366364DD"/>
    <w:rsid w:val="36AD34C7"/>
    <w:rsid w:val="370B6762"/>
    <w:rsid w:val="3F23717A"/>
    <w:rsid w:val="42371EED"/>
    <w:rsid w:val="42EF4C59"/>
    <w:rsid w:val="45F9639D"/>
    <w:rsid w:val="48ED43E7"/>
    <w:rsid w:val="49B2146B"/>
    <w:rsid w:val="4FC1761F"/>
    <w:rsid w:val="54881ACE"/>
    <w:rsid w:val="597C6B55"/>
    <w:rsid w:val="5AB43562"/>
    <w:rsid w:val="5DD971BD"/>
    <w:rsid w:val="5EDC571B"/>
    <w:rsid w:val="60A907EA"/>
    <w:rsid w:val="6145544E"/>
    <w:rsid w:val="689F01D9"/>
    <w:rsid w:val="6A542798"/>
    <w:rsid w:val="6E5C3119"/>
    <w:rsid w:val="752A4089"/>
    <w:rsid w:val="76CB0DEB"/>
    <w:rsid w:val="7A9F007F"/>
    <w:rsid w:val="7E6B2151"/>
    <w:rsid w:val="7ECC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27</TotalTime>
  <ScaleCrop>false</ScaleCrop>
  <LinksUpToDate>false</LinksUpToDate>
  <CharactersWithSpaces>9714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2023-05-06T03:09:20Z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70B016378D274A07B72AAB90D337329E</vt:lpwstr>
  </property>
</Properties>
</file>